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5AD" w14:textId="56D22F1E" w:rsidR="3E5141AA" w:rsidRPr="00394C65" w:rsidRDefault="3E5141AA" w:rsidP="00835AB2">
      <w:pPr>
        <w:jc w:val="both"/>
        <w:rPr>
          <w:sz w:val="20"/>
          <w:szCs w:val="20"/>
        </w:rPr>
      </w:pPr>
    </w:p>
    <w:tbl>
      <w:tblPr>
        <w:tblStyle w:val="TableGrid"/>
        <w:tblW w:w="14170" w:type="dxa"/>
        <w:tblLook w:val="04A0" w:firstRow="1" w:lastRow="0" w:firstColumn="1" w:lastColumn="0" w:noHBand="0" w:noVBand="1"/>
      </w:tblPr>
      <w:tblGrid>
        <w:gridCol w:w="9776"/>
        <w:gridCol w:w="4394"/>
      </w:tblGrid>
      <w:tr w:rsidR="00394C65" w:rsidRPr="00394C65" w14:paraId="5EDC81F1" w14:textId="77777777" w:rsidTr="00650100">
        <w:tc>
          <w:tcPr>
            <w:tcW w:w="9776" w:type="dxa"/>
          </w:tcPr>
          <w:p w14:paraId="5DB7A8A1" w14:textId="77777777" w:rsidR="0019004D" w:rsidRPr="00394C65" w:rsidRDefault="0019004D" w:rsidP="00835AB2">
            <w:pPr>
              <w:jc w:val="both"/>
              <w:rPr>
                <w:b/>
                <w:bCs/>
                <w:sz w:val="20"/>
                <w:szCs w:val="20"/>
              </w:rPr>
            </w:pPr>
          </w:p>
          <w:p w14:paraId="3E1E8CEA" w14:textId="1B7197B6" w:rsidR="0019004D" w:rsidRPr="00394C65" w:rsidRDefault="00D4527D" w:rsidP="00835AB2">
            <w:pPr>
              <w:jc w:val="center"/>
              <w:rPr>
                <w:b/>
                <w:bCs/>
                <w:sz w:val="20"/>
                <w:szCs w:val="20"/>
              </w:rPr>
            </w:pPr>
            <w:r w:rsidRPr="00394C65">
              <w:rPr>
                <w:b/>
                <w:bCs/>
                <w:sz w:val="20"/>
                <w:szCs w:val="20"/>
              </w:rPr>
              <w:t xml:space="preserve">ANNEXE </w:t>
            </w:r>
            <w:r w:rsidR="00650100" w:rsidRPr="00394C65">
              <w:rPr>
                <w:b/>
                <w:bCs/>
                <w:sz w:val="20"/>
                <w:szCs w:val="20"/>
              </w:rPr>
              <w:t xml:space="preserve">– </w:t>
            </w:r>
            <w:r w:rsidRPr="00394C65">
              <w:rPr>
                <w:b/>
                <w:bCs/>
                <w:sz w:val="20"/>
                <w:szCs w:val="20"/>
              </w:rPr>
              <w:t>ACCESSIBILITE</w:t>
            </w:r>
            <w:r w:rsidR="00650100" w:rsidRPr="00394C65">
              <w:rPr>
                <w:b/>
                <w:bCs/>
                <w:sz w:val="20"/>
                <w:szCs w:val="20"/>
              </w:rPr>
              <w:t xml:space="preserve"> </w:t>
            </w:r>
            <w:r w:rsidRPr="00394C65">
              <w:rPr>
                <w:b/>
                <w:bCs/>
                <w:sz w:val="20"/>
                <w:szCs w:val="20"/>
              </w:rPr>
              <w:t>DES PERSONNES A MOBILITE REDUITE</w:t>
            </w:r>
          </w:p>
          <w:p w14:paraId="1FAE9EC3" w14:textId="0FBCFF9B" w:rsidR="0019004D" w:rsidRPr="00394C65" w:rsidRDefault="0019004D" w:rsidP="00835AB2">
            <w:pPr>
              <w:jc w:val="both"/>
              <w:rPr>
                <w:i/>
                <w:sz w:val="20"/>
                <w:szCs w:val="20"/>
              </w:rPr>
            </w:pPr>
          </w:p>
        </w:tc>
        <w:tc>
          <w:tcPr>
            <w:tcW w:w="4394" w:type="dxa"/>
          </w:tcPr>
          <w:p w14:paraId="3BC9E778" w14:textId="77777777" w:rsidR="0019004D" w:rsidRPr="00394C65" w:rsidRDefault="0019004D" w:rsidP="00835AB2">
            <w:pPr>
              <w:jc w:val="both"/>
              <w:rPr>
                <w:sz w:val="20"/>
                <w:szCs w:val="20"/>
              </w:rPr>
            </w:pPr>
          </w:p>
          <w:p w14:paraId="090D50AC" w14:textId="66C600C4" w:rsidR="0019004D" w:rsidRPr="00394C65" w:rsidRDefault="0019004D" w:rsidP="00835AB2">
            <w:pPr>
              <w:jc w:val="center"/>
              <w:rPr>
                <w:b/>
                <w:sz w:val="20"/>
                <w:szCs w:val="20"/>
              </w:rPr>
            </w:pPr>
            <w:r w:rsidRPr="00394C65">
              <w:rPr>
                <w:b/>
                <w:sz w:val="20"/>
                <w:szCs w:val="20"/>
              </w:rPr>
              <w:t>Remarques</w:t>
            </w:r>
          </w:p>
        </w:tc>
      </w:tr>
      <w:tr w:rsidR="00394C65" w:rsidRPr="00394C65" w14:paraId="0888C168" w14:textId="77777777" w:rsidTr="00650100">
        <w:tc>
          <w:tcPr>
            <w:tcW w:w="9776" w:type="dxa"/>
          </w:tcPr>
          <w:p w14:paraId="2B273D8B" w14:textId="0BE4C36C" w:rsidR="0019004D" w:rsidRPr="00394C65" w:rsidRDefault="0019004D" w:rsidP="00835AB2">
            <w:pPr>
              <w:jc w:val="both"/>
              <w:rPr>
                <w:sz w:val="20"/>
                <w:szCs w:val="20"/>
              </w:rPr>
            </w:pPr>
          </w:p>
          <w:p w14:paraId="1B70BA31" w14:textId="77777777" w:rsidR="0019004D" w:rsidRPr="00394C65" w:rsidRDefault="0019004D" w:rsidP="00835AB2">
            <w:pPr>
              <w:jc w:val="both"/>
              <w:rPr>
                <w:b/>
                <w:sz w:val="20"/>
                <w:szCs w:val="20"/>
              </w:rPr>
            </w:pPr>
            <w:r w:rsidRPr="00394C65">
              <w:rPr>
                <w:b/>
                <w:sz w:val="20"/>
                <w:szCs w:val="20"/>
              </w:rPr>
              <w:t>CHAPITRE 1</w:t>
            </w:r>
            <w:r w:rsidRPr="00394C65">
              <w:rPr>
                <w:b/>
                <w:sz w:val="20"/>
                <w:szCs w:val="20"/>
                <w:vertAlign w:val="superscript"/>
              </w:rPr>
              <w:t>ER</w:t>
            </w:r>
            <w:r w:rsidRPr="00394C65">
              <w:rPr>
                <w:b/>
                <w:sz w:val="20"/>
                <w:szCs w:val="20"/>
              </w:rPr>
              <w:t> : GÉNÉRALITÉS</w:t>
            </w:r>
          </w:p>
          <w:p w14:paraId="4EA3A239" w14:textId="77777777" w:rsidR="0019004D" w:rsidRPr="00394C65" w:rsidRDefault="0019004D" w:rsidP="00835AB2">
            <w:pPr>
              <w:jc w:val="both"/>
              <w:rPr>
                <w:sz w:val="20"/>
                <w:szCs w:val="20"/>
              </w:rPr>
            </w:pPr>
          </w:p>
        </w:tc>
        <w:tc>
          <w:tcPr>
            <w:tcW w:w="4394" w:type="dxa"/>
          </w:tcPr>
          <w:p w14:paraId="421ED786" w14:textId="77777777" w:rsidR="0019004D" w:rsidRPr="00394C65" w:rsidRDefault="0019004D" w:rsidP="00835AB2">
            <w:pPr>
              <w:jc w:val="both"/>
              <w:rPr>
                <w:sz w:val="20"/>
                <w:szCs w:val="20"/>
              </w:rPr>
            </w:pPr>
          </w:p>
          <w:p w14:paraId="769335ED" w14:textId="343F12D0" w:rsidR="0019004D" w:rsidRPr="00394C65" w:rsidRDefault="0019004D" w:rsidP="00835AB2">
            <w:pPr>
              <w:jc w:val="both"/>
              <w:rPr>
                <w:sz w:val="20"/>
                <w:szCs w:val="20"/>
              </w:rPr>
            </w:pPr>
          </w:p>
        </w:tc>
      </w:tr>
      <w:tr w:rsidR="00394C65" w:rsidRPr="00394C65" w14:paraId="2FC835BD" w14:textId="77777777" w:rsidTr="00650100">
        <w:tc>
          <w:tcPr>
            <w:tcW w:w="9776" w:type="dxa"/>
          </w:tcPr>
          <w:p w14:paraId="583A5D73" w14:textId="6FD5F2B6" w:rsidR="0019004D" w:rsidRPr="00394C65" w:rsidRDefault="0019004D" w:rsidP="00835AB2">
            <w:pPr>
              <w:jc w:val="both"/>
              <w:rPr>
                <w:b/>
                <w:sz w:val="20"/>
                <w:szCs w:val="20"/>
              </w:rPr>
            </w:pPr>
            <w:r w:rsidRPr="00394C65">
              <w:rPr>
                <w:b/>
                <w:sz w:val="20"/>
                <w:szCs w:val="20"/>
              </w:rPr>
              <w:t>Article 1</w:t>
            </w:r>
            <w:r w:rsidRPr="00394C65">
              <w:rPr>
                <w:b/>
                <w:sz w:val="20"/>
                <w:szCs w:val="20"/>
                <w:vertAlign w:val="superscript"/>
              </w:rPr>
              <w:t>er</w:t>
            </w:r>
            <w:r w:rsidRPr="00394C65">
              <w:rPr>
                <w:b/>
                <w:sz w:val="20"/>
                <w:szCs w:val="20"/>
              </w:rPr>
              <w:t xml:space="preserve"> – Objectifs  </w:t>
            </w:r>
          </w:p>
        </w:tc>
        <w:tc>
          <w:tcPr>
            <w:tcW w:w="4394" w:type="dxa"/>
          </w:tcPr>
          <w:p w14:paraId="521FFA0A" w14:textId="77777777" w:rsidR="0019004D" w:rsidRPr="00394C65" w:rsidRDefault="0019004D" w:rsidP="00835AB2">
            <w:pPr>
              <w:jc w:val="both"/>
              <w:rPr>
                <w:sz w:val="20"/>
                <w:szCs w:val="20"/>
              </w:rPr>
            </w:pPr>
          </w:p>
        </w:tc>
      </w:tr>
      <w:tr w:rsidR="00394C65" w:rsidRPr="00394C65" w14:paraId="6EAFDF72" w14:textId="77777777" w:rsidTr="00650100">
        <w:tc>
          <w:tcPr>
            <w:tcW w:w="9776" w:type="dxa"/>
          </w:tcPr>
          <w:p w14:paraId="410BA3E2" w14:textId="7D1768CD" w:rsidR="0019004D" w:rsidRPr="00394C65" w:rsidRDefault="0019004D" w:rsidP="00835AB2">
            <w:pPr>
              <w:jc w:val="both"/>
              <w:rPr>
                <w:sz w:val="20"/>
                <w:szCs w:val="20"/>
              </w:rPr>
            </w:pPr>
            <w:r w:rsidRPr="00394C65">
              <w:rPr>
                <w:sz w:val="20"/>
                <w:szCs w:val="20"/>
              </w:rPr>
              <w:t>Les dispositions du présent titre poursuivent les objectifs suivants :</w:t>
            </w:r>
          </w:p>
          <w:p w14:paraId="5B4C4DBE" w14:textId="77777777" w:rsidR="0019004D" w:rsidRPr="00394C65" w:rsidRDefault="0019004D" w:rsidP="00835AB2">
            <w:pPr>
              <w:jc w:val="both"/>
              <w:rPr>
                <w:sz w:val="20"/>
                <w:szCs w:val="20"/>
              </w:rPr>
            </w:pPr>
          </w:p>
          <w:p w14:paraId="19E941B3" w14:textId="42A6F844" w:rsidR="0019004D" w:rsidRPr="00394C65" w:rsidRDefault="0019004D" w:rsidP="00835AB2">
            <w:pPr>
              <w:pStyle w:val="ListParagraph"/>
              <w:numPr>
                <w:ilvl w:val="0"/>
                <w:numId w:val="1"/>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favoriser une inclusion optimale des personnes à mobilité réduite </w:t>
            </w:r>
            <w:r w:rsidR="00B83524" w:rsidRPr="00394C65">
              <w:rPr>
                <w:rFonts w:ascii="Times New Roman" w:hAnsi="Times New Roman" w:cs="Times New Roman"/>
                <w:sz w:val="20"/>
                <w:szCs w:val="20"/>
              </w:rPr>
              <w:t xml:space="preserve">dans la société, </w:t>
            </w:r>
            <w:r w:rsidRPr="00394C65">
              <w:rPr>
                <w:rFonts w:ascii="Times New Roman" w:hAnsi="Times New Roman" w:cs="Times New Roman"/>
                <w:sz w:val="20"/>
                <w:szCs w:val="20"/>
              </w:rPr>
              <w:t>en améliorant leur accessibilité à l’environnement physique ;</w:t>
            </w:r>
          </w:p>
          <w:p w14:paraId="0537A003" w14:textId="1A8F1429" w:rsidR="0019004D" w:rsidRPr="00394C65" w:rsidRDefault="0019004D" w:rsidP="00835AB2">
            <w:pPr>
              <w:pStyle w:val="ListParagraph"/>
              <w:numPr>
                <w:ilvl w:val="0"/>
                <w:numId w:val="1"/>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garantir la sécurité et le confort des personnes à mobilité réduite moyennant des aménagements de qualité réalisés dans le respect du cadre urbain environnant et des qualités architecturales des constructions.</w:t>
            </w:r>
          </w:p>
        </w:tc>
        <w:tc>
          <w:tcPr>
            <w:tcW w:w="4394" w:type="dxa"/>
          </w:tcPr>
          <w:p w14:paraId="5BDF1EBE" w14:textId="77777777" w:rsidR="0019004D" w:rsidRPr="00394C65" w:rsidRDefault="0019004D" w:rsidP="00835AB2">
            <w:pPr>
              <w:jc w:val="both"/>
              <w:rPr>
                <w:bCs/>
                <w:sz w:val="20"/>
                <w:szCs w:val="20"/>
              </w:rPr>
            </w:pPr>
          </w:p>
          <w:p w14:paraId="42025627" w14:textId="30F3EF7A" w:rsidR="0019004D" w:rsidRPr="00394C65" w:rsidRDefault="0019004D" w:rsidP="00835AB2">
            <w:pPr>
              <w:jc w:val="both"/>
              <w:rPr>
                <w:sz w:val="20"/>
                <w:szCs w:val="20"/>
              </w:rPr>
            </w:pPr>
          </w:p>
        </w:tc>
      </w:tr>
      <w:tr w:rsidR="00394C65" w:rsidRPr="00394C65" w14:paraId="1F2596A1" w14:textId="77777777" w:rsidTr="00650100">
        <w:trPr>
          <w:trHeight w:val="214"/>
        </w:trPr>
        <w:tc>
          <w:tcPr>
            <w:tcW w:w="9776" w:type="dxa"/>
          </w:tcPr>
          <w:p w14:paraId="03E61EC7" w14:textId="71DB6237" w:rsidR="0039765B" w:rsidRPr="00394C65" w:rsidRDefault="0019004D" w:rsidP="00835AB2">
            <w:pPr>
              <w:jc w:val="both"/>
              <w:rPr>
                <w:b/>
                <w:sz w:val="20"/>
                <w:szCs w:val="20"/>
              </w:rPr>
            </w:pPr>
            <w:r w:rsidRPr="00394C65">
              <w:rPr>
                <w:b/>
                <w:sz w:val="20"/>
                <w:szCs w:val="20"/>
              </w:rPr>
              <w:t>Article 2 – Champ d’application</w:t>
            </w:r>
          </w:p>
        </w:tc>
        <w:tc>
          <w:tcPr>
            <w:tcW w:w="4394" w:type="dxa"/>
          </w:tcPr>
          <w:p w14:paraId="2E376B8C" w14:textId="7E0518FF" w:rsidR="0019004D" w:rsidRPr="00394C65" w:rsidRDefault="0019004D" w:rsidP="00835AB2">
            <w:pPr>
              <w:jc w:val="both"/>
              <w:rPr>
                <w:sz w:val="20"/>
                <w:szCs w:val="20"/>
              </w:rPr>
            </w:pPr>
          </w:p>
        </w:tc>
      </w:tr>
      <w:tr w:rsidR="00394C65" w:rsidRPr="00394C65" w14:paraId="40F33E6F" w14:textId="77777777" w:rsidTr="00650100">
        <w:tc>
          <w:tcPr>
            <w:tcW w:w="9776" w:type="dxa"/>
          </w:tcPr>
          <w:p w14:paraId="2F0B61DA" w14:textId="67319680" w:rsidR="00AE7FF7" w:rsidRPr="00394C65" w:rsidRDefault="00AE7FF7" w:rsidP="00835AB2">
            <w:pPr>
              <w:jc w:val="both"/>
              <w:rPr>
                <w:rFonts w:eastAsiaTheme="minorHAnsi"/>
                <w:sz w:val="20"/>
                <w:szCs w:val="20"/>
                <w:lang w:eastAsia="en-US"/>
              </w:rPr>
            </w:pPr>
            <w:r w:rsidRPr="00394C65">
              <w:rPr>
                <w:rFonts w:eastAsiaTheme="minorHAnsi"/>
                <w:sz w:val="20"/>
                <w:szCs w:val="20"/>
                <w:lang w:eastAsia="en-US"/>
              </w:rPr>
              <w:t>§ 1</w:t>
            </w:r>
            <w:r w:rsidRPr="00394C65">
              <w:rPr>
                <w:rFonts w:eastAsiaTheme="minorHAnsi"/>
                <w:sz w:val="20"/>
                <w:szCs w:val="20"/>
                <w:vertAlign w:val="superscript"/>
                <w:lang w:eastAsia="en-US"/>
              </w:rPr>
              <w:t>er</w:t>
            </w:r>
            <w:r w:rsidRPr="00394C65">
              <w:rPr>
                <w:rFonts w:eastAsiaTheme="minorHAnsi"/>
                <w:sz w:val="20"/>
                <w:szCs w:val="20"/>
                <w:lang w:eastAsia="en-US"/>
              </w:rPr>
              <w:t xml:space="preserve">. </w:t>
            </w:r>
            <w:r w:rsidR="0039765B" w:rsidRPr="00394C65">
              <w:rPr>
                <w:rFonts w:eastAsiaTheme="minorHAnsi"/>
                <w:sz w:val="20"/>
                <w:szCs w:val="20"/>
                <w:lang w:eastAsia="en-US"/>
              </w:rPr>
              <w:t xml:space="preserve">La </w:t>
            </w:r>
            <w:r w:rsidRPr="00394C65">
              <w:rPr>
                <w:rFonts w:eastAsiaTheme="minorHAnsi"/>
                <w:sz w:val="20"/>
                <w:szCs w:val="20"/>
                <w:lang w:eastAsia="en-US"/>
              </w:rPr>
              <w:t>présent</w:t>
            </w:r>
            <w:r w:rsidR="0039765B" w:rsidRPr="00394C65">
              <w:rPr>
                <w:rFonts w:eastAsiaTheme="minorHAnsi"/>
                <w:sz w:val="20"/>
                <w:szCs w:val="20"/>
                <w:lang w:eastAsia="en-US"/>
              </w:rPr>
              <w:t>e</w:t>
            </w:r>
            <w:r w:rsidRPr="00394C65">
              <w:rPr>
                <w:rFonts w:eastAsiaTheme="minorHAnsi"/>
                <w:sz w:val="20"/>
                <w:szCs w:val="20"/>
                <w:lang w:eastAsia="en-US"/>
              </w:rPr>
              <w:t xml:space="preserve"> </w:t>
            </w:r>
            <w:r w:rsidR="0039765B" w:rsidRPr="00394C65">
              <w:rPr>
                <w:rFonts w:eastAsiaTheme="minorHAnsi"/>
                <w:sz w:val="20"/>
                <w:szCs w:val="20"/>
                <w:lang w:eastAsia="en-US"/>
              </w:rPr>
              <w:t xml:space="preserve">annexe </w:t>
            </w:r>
            <w:r w:rsidRPr="00394C65">
              <w:rPr>
                <w:rFonts w:eastAsiaTheme="minorHAnsi"/>
                <w:sz w:val="20"/>
                <w:szCs w:val="20"/>
                <w:lang w:eastAsia="en-US"/>
              </w:rPr>
              <w:t xml:space="preserve">s’applique aux bâtiments, équipements </w:t>
            </w:r>
            <w:r w:rsidR="0039765B" w:rsidRPr="00394C65">
              <w:rPr>
                <w:rFonts w:eastAsiaTheme="minorHAnsi"/>
                <w:sz w:val="20"/>
                <w:szCs w:val="20"/>
                <w:lang w:eastAsia="en-US"/>
              </w:rPr>
              <w:t xml:space="preserve">et espaces </w:t>
            </w:r>
            <w:r w:rsidR="00163C6D" w:rsidRPr="00394C65">
              <w:rPr>
                <w:rFonts w:eastAsiaTheme="minorHAnsi"/>
                <w:sz w:val="20"/>
                <w:szCs w:val="20"/>
                <w:lang w:eastAsia="en-US"/>
              </w:rPr>
              <w:t xml:space="preserve">accessibles au public </w:t>
            </w:r>
            <w:r w:rsidR="0039765B" w:rsidRPr="00394C65">
              <w:rPr>
                <w:rFonts w:eastAsiaTheme="minorHAnsi"/>
                <w:sz w:val="20"/>
                <w:szCs w:val="20"/>
                <w:lang w:eastAsia="en-US"/>
              </w:rPr>
              <w:t xml:space="preserve">suivants </w:t>
            </w:r>
            <w:r w:rsidRPr="00394C65">
              <w:rPr>
                <w:rFonts w:eastAsiaTheme="minorHAnsi"/>
                <w:sz w:val="20"/>
                <w:szCs w:val="20"/>
                <w:lang w:eastAsia="en-US"/>
              </w:rPr>
              <w:t>:</w:t>
            </w:r>
          </w:p>
          <w:p w14:paraId="79C5CD76" w14:textId="77777777" w:rsidR="0039765B" w:rsidRPr="00394C65" w:rsidRDefault="0039765B" w:rsidP="00835AB2">
            <w:pPr>
              <w:jc w:val="both"/>
              <w:rPr>
                <w:rFonts w:eastAsiaTheme="minorHAnsi"/>
                <w:sz w:val="20"/>
                <w:szCs w:val="20"/>
                <w:lang w:eastAsia="en-US"/>
              </w:rPr>
            </w:pPr>
          </w:p>
          <w:p w14:paraId="62B5C089" w14:textId="79D18A5D"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bâtiments destinés aux activités récréatives, touristiques</w:t>
            </w:r>
            <w:r w:rsidR="0039765B" w:rsidRPr="00394C65">
              <w:rPr>
                <w:rFonts w:ascii="Times New Roman" w:hAnsi="Times New Roman" w:cs="Times New Roman"/>
                <w:sz w:val="20"/>
                <w:szCs w:val="20"/>
              </w:rPr>
              <w:t xml:space="preserve"> et</w:t>
            </w:r>
            <w:r w:rsidRPr="00394C65">
              <w:rPr>
                <w:rFonts w:ascii="Times New Roman" w:hAnsi="Times New Roman" w:cs="Times New Roman"/>
                <w:sz w:val="20"/>
                <w:szCs w:val="20"/>
              </w:rPr>
              <w:t xml:space="preserve"> socioculturelles ;</w:t>
            </w:r>
          </w:p>
          <w:p w14:paraId="71A82786"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bâtiments destinés à l’exercice d’un culte ou à l’expression d’idées philosophiques, religieuses ou politiques ;</w:t>
            </w:r>
          </w:p>
          <w:p w14:paraId="5B014520"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juridictions et leurs greffes, les administrations publiques et les bâtiments accueillant les assemblées ou les conseils représentant les institutions publiques ;</w:t>
            </w:r>
          </w:p>
          <w:p w14:paraId="5AC5C9CB" w14:textId="5542867D"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hôpitaux, cliniques et polycliniques, les centres de soins et assimilés</w:t>
            </w:r>
            <w:r w:rsidR="007D63EE" w:rsidRPr="00394C65">
              <w:rPr>
                <w:rFonts w:ascii="Times New Roman" w:hAnsi="Times New Roman" w:cs="Times New Roman"/>
                <w:sz w:val="20"/>
                <w:szCs w:val="20"/>
              </w:rPr>
              <w:t xml:space="preserve"> en ce compris les vétérinaires</w:t>
            </w:r>
            <w:r w:rsidRPr="00394C65">
              <w:rPr>
                <w:rFonts w:ascii="Times New Roman" w:hAnsi="Times New Roman" w:cs="Times New Roman"/>
                <w:sz w:val="20"/>
                <w:szCs w:val="20"/>
              </w:rPr>
              <w:t>, les centres et cabinets d’aide médicale, familiale, sociale ou de santé mentale, les centres funéraires ;</w:t>
            </w:r>
          </w:p>
          <w:p w14:paraId="70DB6389"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établissements d’accueil, d’enseignement ou de formation et les établissements d’hébergement collectif pour mineurs ou étudiants ;</w:t>
            </w:r>
          </w:p>
          <w:p w14:paraId="2B86631A" w14:textId="132DC93C"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 xml:space="preserve">les établissements d’accueil ou d’hébergement collectif pour personnes âgées ou handicapées, les logements adaptés </w:t>
            </w:r>
            <w:r w:rsidR="007D63EE" w:rsidRPr="00394C65">
              <w:rPr>
                <w:rFonts w:ascii="Times New Roman" w:hAnsi="Times New Roman" w:cs="Times New Roman"/>
                <w:sz w:val="20"/>
                <w:szCs w:val="20"/>
              </w:rPr>
              <w:t xml:space="preserve">et adaptables </w:t>
            </w:r>
            <w:r w:rsidRPr="00394C65">
              <w:rPr>
                <w:rFonts w:ascii="Times New Roman" w:hAnsi="Times New Roman" w:cs="Times New Roman"/>
                <w:sz w:val="20"/>
                <w:szCs w:val="20"/>
              </w:rPr>
              <w:t>et les logements dans lesquels ces personnes bénéficient d’un encadrement et/ou de services adaptés à leurs besoins ;</w:t>
            </w:r>
          </w:p>
          <w:p w14:paraId="5D949850"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établissements et espaces extérieurs destinés à la pratique du sport ou aux loisirs en plein air ;</w:t>
            </w:r>
          </w:p>
          <w:p w14:paraId="28A413EC"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établissements pénitentiaires ou de rééducation ;</w:t>
            </w:r>
          </w:p>
          <w:p w14:paraId="399D1CED"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établissements hôteliers, les centres commerciaux et commerces, en ce compris du secteur de la restauration ;</w:t>
            </w:r>
          </w:p>
          <w:p w14:paraId="5B6B81EB" w14:textId="77777777"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bureaux ;</w:t>
            </w:r>
          </w:p>
          <w:p w14:paraId="4663FBB2" w14:textId="6C88D326"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bureaux poste, les banques et autres établissements financiers ;</w:t>
            </w:r>
          </w:p>
          <w:p w14:paraId="04BBC804" w14:textId="58193CC2"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 xml:space="preserve">les parkings d’au moins 10 emplacements de parcage pour </w:t>
            </w:r>
            <w:r w:rsidR="00866B01" w:rsidRPr="00394C65">
              <w:rPr>
                <w:rFonts w:ascii="Times New Roman" w:hAnsi="Times New Roman" w:cs="Times New Roman"/>
                <w:sz w:val="20"/>
                <w:szCs w:val="20"/>
              </w:rPr>
              <w:t>véhicules automobiles </w:t>
            </w:r>
            <w:r w:rsidRPr="00394C65">
              <w:rPr>
                <w:rFonts w:ascii="Times New Roman" w:hAnsi="Times New Roman" w:cs="Times New Roman"/>
                <w:sz w:val="20"/>
                <w:szCs w:val="20"/>
              </w:rPr>
              <w:t>;</w:t>
            </w:r>
          </w:p>
          <w:p w14:paraId="32F4E798" w14:textId="1D763F64"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 xml:space="preserve">les parties communes des immeubles </w:t>
            </w:r>
            <w:r w:rsidR="00816A3A" w:rsidRPr="00394C65">
              <w:rPr>
                <w:rFonts w:ascii="Times New Roman" w:hAnsi="Times New Roman" w:cs="Times New Roman"/>
                <w:sz w:val="20"/>
                <w:szCs w:val="20"/>
              </w:rPr>
              <w:t>à logements multiples</w:t>
            </w:r>
            <w:r w:rsidRPr="00394C65">
              <w:rPr>
                <w:rFonts w:ascii="Times New Roman" w:hAnsi="Times New Roman" w:cs="Times New Roman"/>
                <w:sz w:val="20"/>
                <w:szCs w:val="20"/>
              </w:rPr>
              <w:t>, jusque et y compris la porte d’entrée des logements et des locaux séparés de rangement privatif ;</w:t>
            </w:r>
          </w:p>
          <w:p w14:paraId="78657726" w14:textId="3ECDECA0"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 gares et les stations de transports en commun</w:t>
            </w:r>
            <w:r w:rsidR="00866B01" w:rsidRPr="00394C65">
              <w:rPr>
                <w:rFonts w:ascii="Times New Roman" w:hAnsi="Times New Roman" w:cs="Times New Roman"/>
                <w:sz w:val="20"/>
                <w:szCs w:val="20"/>
              </w:rPr>
              <w:t>,</w:t>
            </w:r>
            <w:r w:rsidR="00F25B00" w:rsidRPr="00394C65">
              <w:rPr>
                <w:rFonts w:ascii="Times New Roman" w:hAnsi="Times New Roman" w:cs="Times New Roman"/>
                <w:sz w:val="20"/>
                <w:szCs w:val="20"/>
              </w:rPr>
              <w:t xml:space="preserve"> en ce compris les quais et accès aux quais</w:t>
            </w:r>
            <w:r w:rsidRPr="00394C65">
              <w:rPr>
                <w:rFonts w:ascii="Times New Roman" w:hAnsi="Times New Roman" w:cs="Times New Roman"/>
                <w:sz w:val="20"/>
                <w:szCs w:val="20"/>
              </w:rPr>
              <w:t> ;</w:t>
            </w:r>
          </w:p>
          <w:p w14:paraId="6798F133" w14:textId="54D13DA0"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w:t>
            </w:r>
            <w:r w:rsidR="00F25B00" w:rsidRPr="00394C65">
              <w:rPr>
                <w:rFonts w:ascii="Times New Roman" w:hAnsi="Times New Roman" w:cs="Times New Roman"/>
                <w:sz w:val="20"/>
                <w:szCs w:val="20"/>
              </w:rPr>
              <w:t>es espaces ouverts accessibles au public</w:t>
            </w:r>
            <w:r w:rsidRPr="00394C65">
              <w:rPr>
                <w:rFonts w:ascii="Times New Roman" w:hAnsi="Times New Roman" w:cs="Times New Roman"/>
                <w:sz w:val="20"/>
                <w:szCs w:val="20"/>
              </w:rPr>
              <w:t> ;</w:t>
            </w:r>
          </w:p>
          <w:p w14:paraId="11C92732" w14:textId="6967D8B2" w:rsidR="00AE7FF7" w:rsidRPr="00394C65"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les</w:t>
            </w:r>
            <w:r w:rsidR="00A32C0E" w:rsidRPr="00394C65">
              <w:rPr>
                <w:rFonts w:ascii="Times New Roman" w:hAnsi="Times New Roman" w:cs="Times New Roman"/>
                <w:sz w:val="20"/>
                <w:szCs w:val="20"/>
              </w:rPr>
              <w:t xml:space="preserve"> équipements accessibles au public</w:t>
            </w:r>
            <w:r w:rsidRPr="00394C65">
              <w:rPr>
                <w:rFonts w:ascii="Times New Roman" w:hAnsi="Times New Roman" w:cs="Times New Roman"/>
                <w:sz w:val="20"/>
                <w:szCs w:val="20"/>
              </w:rPr>
              <w:t>.</w:t>
            </w:r>
          </w:p>
          <w:p w14:paraId="54F2C30F" w14:textId="77777777" w:rsidR="00866B01" w:rsidRPr="00394C65" w:rsidRDefault="00866B01" w:rsidP="00835AB2">
            <w:pPr>
              <w:jc w:val="both"/>
              <w:rPr>
                <w:rFonts w:eastAsiaTheme="minorHAnsi"/>
                <w:sz w:val="20"/>
                <w:szCs w:val="20"/>
                <w:lang w:eastAsia="en-US"/>
              </w:rPr>
            </w:pPr>
          </w:p>
          <w:p w14:paraId="6CF16208" w14:textId="4FF116C7" w:rsidR="00AE7FF7" w:rsidRPr="00394C65" w:rsidRDefault="00AE7FF7" w:rsidP="00835AB2">
            <w:pPr>
              <w:jc w:val="both"/>
              <w:rPr>
                <w:rFonts w:eastAsiaTheme="minorHAnsi"/>
                <w:sz w:val="20"/>
                <w:szCs w:val="20"/>
                <w:lang w:eastAsia="en-US"/>
              </w:rPr>
            </w:pPr>
            <w:r w:rsidRPr="00394C65">
              <w:rPr>
                <w:rFonts w:eastAsiaTheme="minorHAnsi"/>
                <w:sz w:val="20"/>
                <w:szCs w:val="20"/>
                <w:lang w:eastAsia="en-US"/>
              </w:rPr>
              <w:lastRenderedPageBreak/>
              <w:t xml:space="preserve">§ 2. </w:t>
            </w:r>
            <w:r w:rsidR="00866B01" w:rsidRPr="00394C65">
              <w:rPr>
                <w:rFonts w:eastAsiaTheme="minorHAnsi"/>
                <w:sz w:val="20"/>
                <w:szCs w:val="20"/>
                <w:lang w:eastAsia="en-US"/>
              </w:rPr>
              <w:t>L</w:t>
            </w:r>
            <w:r w:rsidRPr="00394C65">
              <w:rPr>
                <w:rFonts w:eastAsiaTheme="minorHAnsi"/>
                <w:sz w:val="20"/>
                <w:szCs w:val="20"/>
                <w:lang w:eastAsia="en-US"/>
              </w:rPr>
              <w:t>e présent titre s’applique </w:t>
            </w:r>
            <w:r w:rsidR="00F357C4" w:rsidRPr="00394C65">
              <w:rPr>
                <w:rFonts w:eastAsiaTheme="minorHAnsi"/>
                <w:sz w:val="20"/>
                <w:szCs w:val="20"/>
                <w:lang w:eastAsia="en-US"/>
              </w:rPr>
              <w:t xml:space="preserve">aux actes et travaux relatifs </w:t>
            </w:r>
            <w:r w:rsidRPr="00394C65">
              <w:rPr>
                <w:rFonts w:eastAsiaTheme="minorHAnsi"/>
                <w:sz w:val="20"/>
                <w:szCs w:val="20"/>
                <w:lang w:eastAsia="en-US"/>
              </w:rPr>
              <w:t>:</w:t>
            </w:r>
          </w:p>
          <w:p w14:paraId="6607BC6F" w14:textId="77777777" w:rsidR="00866B01" w:rsidRPr="00394C65" w:rsidRDefault="00866B01" w:rsidP="00835AB2">
            <w:pPr>
              <w:jc w:val="both"/>
              <w:rPr>
                <w:rFonts w:eastAsiaTheme="minorHAnsi"/>
                <w:sz w:val="20"/>
                <w:szCs w:val="20"/>
                <w:lang w:eastAsia="en-US"/>
              </w:rPr>
            </w:pPr>
          </w:p>
          <w:p w14:paraId="034AC7F1" w14:textId="7E4EA1BB" w:rsidR="00AE7FF7" w:rsidRPr="00394C65" w:rsidRDefault="00AE7FF7" w:rsidP="00835AB2">
            <w:pPr>
              <w:pStyle w:val="ListParagraph"/>
              <w:numPr>
                <w:ilvl w:val="0"/>
                <w:numId w:val="21"/>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 xml:space="preserve">aux </w:t>
            </w:r>
            <w:r w:rsidR="00F357C4" w:rsidRPr="00394C65">
              <w:rPr>
                <w:rFonts w:ascii="Times New Roman" w:hAnsi="Times New Roman" w:cs="Times New Roman"/>
                <w:sz w:val="20"/>
                <w:szCs w:val="20"/>
              </w:rPr>
              <w:t>constructions nouvelles</w:t>
            </w:r>
            <w:r w:rsidRPr="00394C65">
              <w:rPr>
                <w:rFonts w:ascii="Times New Roman" w:hAnsi="Times New Roman" w:cs="Times New Roman"/>
                <w:sz w:val="20"/>
                <w:szCs w:val="20"/>
              </w:rPr>
              <w:t> ;</w:t>
            </w:r>
          </w:p>
          <w:p w14:paraId="66E525EA" w14:textId="05FF9EFC" w:rsidR="00AE7FF7" w:rsidRPr="00394C65" w:rsidRDefault="00AE7FF7" w:rsidP="00835AB2">
            <w:pPr>
              <w:pStyle w:val="ListParagraph"/>
              <w:numPr>
                <w:ilvl w:val="0"/>
                <w:numId w:val="21"/>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aux construction</w:t>
            </w:r>
            <w:r w:rsidR="00F357C4" w:rsidRPr="00394C65">
              <w:rPr>
                <w:rFonts w:ascii="Times New Roman" w:hAnsi="Times New Roman" w:cs="Times New Roman"/>
                <w:sz w:val="20"/>
                <w:szCs w:val="20"/>
              </w:rPr>
              <w:t>s</w:t>
            </w:r>
            <w:r w:rsidRPr="00394C65">
              <w:rPr>
                <w:rFonts w:ascii="Times New Roman" w:hAnsi="Times New Roman" w:cs="Times New Roman"/>
                <w:sz w:val="20"/>
                <w:szCs w:val="20"/>
              </w:rPr>
              <w:t xml:space="preserve"> existante</w:t>
            </w:r>
            <w:r w:rsidR="00F357C4" w:rsidRPr="00394C65">
              <w:rPr>
                <w:rFonts w:ascii="Times New Roman" w:hAnsi="Times New Roman" w:cs="Times New Roman"/>
                <w:sz w:val="20"/>
                <w:szCs w:val="20"/>
              </w:rPr>
              <w:t>s</w:t>
            </w:r>
            <w:r w:rsidR="00077BC6" w:rsidRPr="00394C65">
              <w:rPr>
                <w:rFonts w:ascii="Times New Roman" w:hAnsi="Times New Roman" w:cs="Times New Roman"/>
                <w:sz w:val="20"/>
                <w:szCs w:val="20"/>
              </w:rPr>
              <w:t xml:space="preserve"> </w:t>
            </w:r>
            <w:r w:rsidRPr="00394C65">
              <w:rPr>
                <w:rFonts w:ascii="Times New Roman" w:hAnsi="Times New Roman" w:cs="Times New Roman"/>
                <w:sz w:val="20"/>
                <w:szCs w:val="20"/>
              </w:rPr>
              <w:t>:</w:t>
            </w:r>
          </w:p>
          <w:p w14:paraId="7FEC7924" w14:textId="3A82DFA5" w:rsidR="00AE7FF7" w:rsidRPr="00394C65" w:rsidRDefault="00077BC6" w:rsidP="00835AB2">
            <w:pPr>
              <w:pStyle w:val="ListParagraph"/>
              <w:numPr>
                <w:ilvl w:val="0"/>
                <w:numId w:val="22"/>
              </w:numPr>
              <w:spacing w:after="0" w:line="240" w:lineRule="auto"/>
              <w:ind w:left="739" w:hanging="284"/>
              <w:jc w:val="both"/>
              <w:rPr>
                <w:rFonts w:ascii="Times New Roman" w:hAnsi="Times New Roman" w:cs="Times New Roman"/>
                <w:sz w:val="20"/>
                <w:szCs w:val="20"/>
              </w:rPr>
            </w:pPr>
            <w:r w:rsidRPr="00394C65">
              <w:rPr>
                <w:rFonts w:ascii="Times New Roman" w:hAnsi="Times New Roman" w:cs="Times New Roman"/>
                <w:sz w:val="20"/>
                <w:szCs w:val="20"/>
              </w:rPr>
              <w:t xml:space="preserve">lorsque ces actes et travaux portent sur </w:t>
            </w:r>
            <w:r w:rsidR="00AE7FF7" w:rsidRPr="00394C65">
              <w:rPr>
                <w:rFonts w:ascii="Times New Roman" w:hAnsi="Times New Roman" w:cs="Times New Roman"/>
                <w:sz w:val="20"/>
                <w:szCs w:val="20"/>
              </w:rPr>
              <w:t>la construction d’une extension ou d’un étage supplémentaire</w:t>
            </w:r>
            <w:r w:rsidR="00866B01" w:rsidRPr="00394C65">
              <w:rPr>
                <w:rFonts w:ascii="Times New Roman" w:hAnsi="Times New Roman" w:cs="Times New Roman"/>
                <w:sz w:val="20"/>
                <w:szCs w:val="20"/>
              </w:rPr>
              <w:t> ;</w:t>
            </w:r>
          </w:p>
          <w:p w14:paraId="2DF069F1" w14:textId="1EC933D1" w:rsidR="00AE7FF7" w:rsidRPr="00394C65" w:rsidRDefault="00077BC6" w:rsidP="00835AB2">
            <w:pPr>
              <w:pStyle w:val="ListParagraph"/>
              <w:numPr>
                <w:ilvl w:val="0"/>
                <w:numId w:val="22"/>
              </w:numPr>
              <w:spacing w:after="0" w:line="240" w:lineRule="auto"/>
              <w:ind w:left="739" w:hanging="284"/>
              <w:jc w:val="both"/>
              <w:rPr>
                <w:rFonts w:ascii="Times New Roman" w:hAnsi="Times New Roman" w:cs="Times New Roman"/>
                <w:sz w:val="20"/>
                <w:szCs w:val="20"/>
              </w:rPr>
            </w:pPr>
            <w:r w:rsidRPr="00394C65">
              <w:rPr>
                <w:rFonts w:ascii="Times New Roman" w:hAnsi="Times New Roman" w:cs="Times New Roman"/>
                <w:sz w:val="20"/>
                <w:szCs w:val="20"/>
              </w:rPr>
              <w:t xml:space="preserve">lorsque ces actes et travaux portent sur </w:t>
            </w:r>
            <w:r w:rsidR="00AE7FF7" w:rsidRPr="00394C65">
              <w:rPr>
                <w:rFonts w:ascii="Times New Roman" w:hAnsi="Times New Roman" w:cs="Times New Roman"/>
                <w:sz w:val="20"/>
                <w:szCs w:val="20"/>
              </w:rPr>
              <w:t>la modification de la destination ou de l’utilisation d</w:t>
            </w:r>
            <w:r w:rsidR="00F357C4" w:rsidRPr="00394C65">
              <w:rPr>
                <w:rFonts w:ascii="Times New Roman" w:hAnsi="Times New Roman" w:cs="Times New Roman"/>
                <w:sz w:val="20"/>
                <w:szCs w:val="20"/>
              </w:rPr>
              <w:t>e tout ou partie d</w:t>
            </w:r>
            <w:r w:rsidR="00AE7FF7" w:rsidRPr="00394C65">
              <w:rPr>
                <w:rFonts w:ascii="Times New Roman" w:hAnsi="Times New Roman" w:cs="Times New Roman"/>
                <w:sz w:val="20"/>
                <w:szCs w:val="20"/>
              </w:rPr>
              <w:t>’un immeuble afin d</w:t>
            </w:r>
            <w:r w:rsidR="00C63615" w:rsidRPr="00394C65">
              <w:rPr>
                <w:rFonts w:ascii="Times New Roman" w:hAnsi="Times New Roman" w:cs="Times New Roman"/>
                <w:sz w:val="20"/>
                <w:szCs w:val="20"/>
              </w:rPr>
              <w:t xml:space="preserve">’y implanter </w:t>
            </w:r>
            <w:r w:rsidR="00AE7FF7" w:rsidRPr="00394C65">
              <w:rPr>
                <w:rFonts w:ascii="Times New Roman" w:hAnsi="Times New Roman" w:cs="Times New Roman"/>
                <w:sz w:val="20"/>
                <w:szCs w:val="20"/>
              </w:rPr>
              <w:t xml:space="preserve">une </w:t>
            </w:r>
            <w:r w:rsidR="00C63615" w:rsidRPr="00394C65">
              <w:rPr>
                <w:rFonts w:ascii="Times New Roman" w:hAnsi="Times New Roman" w:cs="Times New Roman"/>
                <w:sz w:val="20"/>
                <w:szCs w:val="20"/>
              </w:rPr>
              <w:t xml:space="preserve">des </w:t>
            </w:r>
            <w:r w:rsidR="00AE7FF7" w:rsidRPr="00394C65">
              <w:rPr>
                <w:rFonts w:ascii="Times New Roman" w:hAnsi="Times New Roman" w:cs="Times New Roman"/>
                <w:sz w:val="20"/>
                <w:szCs w:val="20"/>
              </w:rPr>
              <w:t>activité</w:t>
            </w:r>
            <w:r w:rsidR="00C63615" w:rsidRPr="00394C65">
              <w:rPr>
                <w:rFonts w:ascii="Times New Roman" w:hAnsi="Times New Roman" w:cs="Times New Roman"/>
                <w:sz w:val="20"/>
                <w:szCs w:val="20"/>
              </w:rPr>
              <w:t>s</w:t>
            </w:r>
            <w:r w:rsidR="00AE7FF7" w:rsidRPr="00394C65">
              <w:rPr>
                <w:rFonts w:ascii="Times New Roman" w:hAnsi="Times New Roman" w:cs="Times New Roman"/>
                <w:sz w:val="20"/>
                <w:szCs w:val="20"/>
              </w:rPr>
              <w:t xml:space="preserve"> ou fonction</w:t>
            </w:r>
            <w:r w:rsidR="00C63615" w:rsidRPr="00394C65">
              <w:rPr>
                <w:rFonts w:ascii="Times New Roman" w:hAnsi="Times New Roman" w:cs="Times New Roman"/>
                <w:sz w:val="20"/>
                <w:szCs w:val="20"/>
              </w:rPr>
              <w:t>s</w:t>
            </w:r>
            <w:r w:rsidR="00AE7FF7" w:rsidRPr="00394C65">
              <w:rPr>
                <w:rFonts w:ascii="Times New Roman" w:hAnsi="Times New Roman" w:cs="Times New Roman"/>
                <w:sz w:val="20"/>
                <w:szCs w:val="20"/>
              </w:rPr>
              <w:t xml:space="preserve"> visée</w:t>
            </w:r>
            <w:r w:rsidR="00C63615" w:rsidRPr="00394C65">
              <w:rPr>
                <w:rFonts w:ascii="Times New Roman" w:hAnsi="Times New Roman" w:cs="Times New Roman"/>
                <w:sz w:val="20"/>
                <w:szCs w:val="20"/>
              </w:rPr>
              <w:t>s</w:t>
            </w:r>
            <w:r w:rsidR="00AE7FF7" w:rsidRPr="00394C65">
              <w:rPr>
                <w:rFonts w:ascii="Times New Roman" w:hAnsi="Times New Roman" w:cs="Times New Roman"/>
                <w:sz w:val="20"/>
                <w:szCs w:val="20"/>
              </w:rPr>
              <w:t xml:space="preserve"> au </w:t>
            </w:r>
            <w:r w:rsidR="00C63615" w:rsidRPr="00394C65">
              <w:rPr>
                <w:rFonts w:ascii="Times New Roman" w:hAnsi="Times New Roman" w:cs="Times New Roman"/>
                <w:sz w:val="20"/>
                <w:szCs w:val="20"/>
              </w:rPr>
              <w:t xml:space="preserve">paragraphe </w:t>
            </w:r>
            <w:r w:rsidR="00AE7FF7" w:rsidRPr="00394C65">
              <w:rPr>
                <w:rFonts w:ascii="Times New Roman" w:hAnsi="Times New Roman" w:cs="Times New Roman"/>
                <w:sz w:val="20"/>
                <w:szCs w:val="20"/>
              </w:rPr>
              <w:t>1</w:t>
            </w:r>
            <w:r w:rsidR="00AE7FF7" w:rsidRPr="00394C65">
              <w:rPr>
                <w:rFonts w:ascii="Times New Roman" w:hAnsi="Times New Roman" w:cs="Times New Roman"/>
                <w:sz w:val="20"/>
                <w:szCs w:val="20"/>
                <w:vertAlign w:val="superscript"/>
              </w:rPr>
              <w:t>er</w:t>
            </w:r>
            <w:r w:rsidR="00AE7FF7" w:rsidRPr="00394C65">
              <w:rPr>
                <w:rFonts w:ascii="Times New Roman" w:hAnsi="Times New Roman" w:cs="Times New Roman"/>
                <w:sz w:val="20"/>
                <w:szCs w:val="20"/>
              </w:rPr>
              <w:t> ;</w:t>
            </w:r>
          </w:p>
          <w:p w14:paraId="7B1D12CC" w14:textId="614EA0FF" w:rsidR="00AE7FF7" w:rsidRPr="00394C65" w:rsidRDefault="00077BC6" w:rsidP="00835AB2">
            <w:pPr>
              <w:pStyle w:val="ListParagraph"/>
              <w:numPr>
                <w:ilvl w:val="0"/>
                <w:numId w:val="22"/>
              </w:numPr>
              <w:spacing w:after="0" w:line="240" w:lineRule="auto"/>
              <w:ind w:left="739" w:hanging="284"/>
              <w:jc w:val="both"/>
              <w:rPr>
                <w:rFonts w:ascii="Times New Roman" w:hAnsi="Times New Roman" w:cs="Times New Roman"/>
                <w:sz w:val="20"/>
                <w:szCs w:val="20"/>
              </w:rPr>
            </w:pPr>
            <w:r w:rsidRPr="00394C65">
              <w:rPr>
                <w:rFonts w:ascii="Times New Roman" w:hAnsi="Times New Roman" w:cs="Times New Roman"/>
                <w:sz w:val="20"/>
                <w:szCs w:val="20"/>
              </w:rPr>
              <w:t xml:space="preserve">lorsque et dans la mesure où ces actes et travaux portent sur </w:t>
            </w:r>
            <w:r w:rsidR="00AE7FF7" w:rsidRPr="00394C65">
              <w:rPr>
                <w:rFonts w:ascii="Times New Roman" w:hAnsi="Times New Roman" w:cs="Times New Roman"/>
                <w:sz w:val="20"/>
                <w:szCs w:val="20"/>
              </w:rPr>
              <w:t>la modification d’une caractéristique réglementée par le présent titre.</w:t>
            </w:r>
          </w:p>
          <w:p w14:paraId="6DD5C4FC" w14:textId="77777777" w:rsidR="00866B01" w:rsidRPr="00394C65" w:rsidRDefault="00866B01" w:rsidP="00835AB2">
            <w:pPr>
              <w:jc w:val="both"/>
              <w:rPr>
                <w:rFonts w:eastAsiaTheme="minorHAnsi"/>
                <w:sz w:val="20"/>
                <w:szCs w:val="20"/>
                <w:lang w:eastAsia="en-US"/>
              </w:rPr>
            </w:pPr>
          </w:p>
          <w:p w14:paraId="25670A8E" w14:textId="48E50128" w:rsidR="00AE7FF7" w:rsidRPr="00394C65" w:rsidRDefault="00AE7FF7" w:rsidP="00835AB2">
            <w:pPr>
              <w:jc w:val="both"/>
              <w:rPr>
                <w:rFonts w:eastAsiaTheme="minorHAnsi"/>
                <w:sz w:val="20"/>
                <w:szCs w:val="20"/>
                <w:lang w:eastAsia="en-US"/>
              </w:rPr>
            </w:pPr>
            <w:r w:rsidRPr="00394C65">
              <w:rPr>
                <w:rFonts w:eastAsiaTheme="minorHAnsi"/>
                <w:sz w:val="20"/>
                <w:szCs w:val="20"/>
                <w:lang w:eastAsia="en-US"/>
              </w:rPr>
              <w:t xml:space="preserve">Toutefois, </w:t>
            </w:r>
            <w:r w:rsidR="00077BC6" w:rsidRPr="00394C65">
              <w:rPr>
                <w:rFonts w:eastAsiaTheme="minorHAnsi"/>
                <w:sz w:val="20"/>
                <w:szCs w:val="20"/>
                <w:lang w:eastAsia="en-US"/>
              </w:rPr>
              <w:t xml:space="preserve">à l’exclusion de </w:t>
            </w:r>
            <w:r w:rsidRPr="00394C65">
              <w:rPr>
                <w:rFonts w:eastAsiaTheme="minorHAnsi"/>
                <w:sz w:val="20"/>
                <w:szCs w:val="20"/>
                <w:lang w:eastAsia="en-US"/>
              </w:rPr>
              <w:t>l’article 11, le présent titre ne s’applique pas :</w:t>
            </w:r>
          </w:p>
          <w:p w14:paraId="528BD066" w14:textId="77777777" w:rsidR="00C63615" w:rsidRPr="00394C65" w:rsidRDefault="00C63615" w:rsidP="00835AB2">
            <w:pPr>
              <w:jc w:val="both"/>
              <w:rPr>
                <w:rFonts w:eastAsiaTheme="minorHAnsi"/>
                <w:sz w:val="20"/>
                <w:szCs w:val="20"/>
                <w:lang w:eastAsia="en-US"/>
              </w:rPr>
            </w:pPr>
          </w:p>
          <w:p w14:paraId="7D0CB988" w14:textId="23DC56EC" w:rsidR="00AE7FF7" w:rsidRPr="00394C65" w:rsidRDefault="00AE7FF7" w:rsidP="00835AB2">
            <w:pPr>
              <w:pStyle w:val="ListParagraph"/>
              <w:numPr>
                <w:ilvl w:val="0"/>
                <w:numId w:val="23"/>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 xml:space="preserve">dans le cas visé au </w:t>
            </w:r>
            <w:r w:rsidR="00C63615" w:rsidRPr="00394C65">
              <w:rPr>
                <w:rFonts w:ascii="Times New Roman" w:hAnsi="Times New Roman" w:cs="Times New Roman"/>
                <w:sz w:val="20"/>
                <w:szCs w:val="20"/>
              </w:rPr>
              <w:t xml:space="preserve">paragraphe </w:t>
            </w:r>
            <w:r w:rsidRPr="00394C65">
              <w:rPr>
                <w:rFonts w:ascii="Times New Roman" w:hAnsi="Times New Roman" w:cs="Times New Roman"/>
                <w:sz w:val="20"/>
                <w:szCs w:val="20"/>
              </w:rPr>
              <w:t>1</w:t>
            </w:r>
            <w:r w:rsidRPr="00394C65">
              <w:rPr>
                <w:rFonts w:ascii="Times New Roman" w:hAnsi="Times New Roman" w:cs="Times New Roman"/>
                <w:sz w:val="20"/>
                <w:szCs w:val="20"/>
                <w:vertAlign w:val="superscript"/>
              </w:rPr>
              <w:t>er</w:t>
            </w:r>
            <w:r w:rsidRPr="00394C65">
              <w:rPr>
                <w:rFonts w:ascii="Times New Roman" w:hAnsi="Times New Roman" w:cs="Times New Roman"/>
                <w:sz w:val="20"/>
                <w:szCs w:val="20"/>
              </w:rPr>
              <w:t xml:space="preserve">, 9° : aux immeubles ou parties d’immeubles existants dont les locaux accessibles à la clientèle ont une superficie de plancher </w:t>
            </w:r>
            <w:r w:rsidR="00F357C4" w:rsidRPr="00394C65">
              <w:rPr>
                <w:rFonts w:ascii="Times New Roman" w:hAnsi="Times New Roman" w:cs="Times New Roman"/>
                <w:sz w:val="20"/>
                <w:szCs w:val="20"/>
              </w:rPr>
              <w:t xml:space="preserve">brute </w:t>
            </w:r>
            <w:r w:rsidRPr="00394C65">
              <w:rPr>
                <w:rFonts w:ascii="Times New Roman" w:hAnsi="Times New Roman" w:cs="Times New Roman"/>
                <w:sz w:val="20"/>
                <w:szCs w:val="20"/>
              </w:rPr>
              <w:t xml:space="preserve">inférieure à </w:t>
            </w:r>
            <w:r w:rsidR="007D63EE" w:rsidRPr="00394C65">
              <w:rPr>
                <w:rFonts w:ascii="Times New Roman" w:hAnsi="Times New Roman" w:cs="Times New Roman"/>
                <w:sz w:val="20"/>
                <w:szCs w:val="20"/>
              </w:rPr>
              <w:t xml:space="preserve">100 </w:t>
            </w:r>
            <w:r w:rsidRPr="00394C65">
              <w:rPr>
                <w:rFonts w:ascii="Times New Roman" w:hAnsi="Times New Roman" w:cs="Times New Roman"/>
                <w:sz w:val="20"/>
                <w:szCs w:val="20"/>
              </w:rPr>
              <w:t>m² ;</w:t>
            </w:r>
          </w:p>
          <w:p w14:paraId="6C368F57" w14:textId="56FF7127" w:rsidR="00AE7FF7" w:rsidRPr="00394C65" w:rsidRDefault="00AE7FF7" w:rsidP="00835AB2">
            <w:pPr>
              <w:pStyle w:val="ListParagraph"/>
              <w:numPr>
                <w:ilvl w:val="0"/>
                <w:numId w:val="23"/>
              </w:numPr>
              <w:spacing w:after="0" w:line="240" w:lineRule="auto"/>
              <w:ind w:left="455" w:hanging="425"/>
              <w:jc w:val="both"/>
              <w:rPr>
                <w:rFonts w:ascii="Times New Roman" w:hAnsi="Times New Roman" w:cs="Times New Roman"/>
                <w:sz w:val="20"/>
                <w:szCs w:val="20"/>
              </w:rPr>
            </w:pPr>
            <w:r w:rsidRPr="00394C65">
              <w:rPr>
                <w:rFonts w:ascii="Times New Roman" w:hAnsi="Times New Roman" w:cs="Times New Roman"/>
                <w:sz w:val="20"/>
                <w:szCs w:val="20"/>
              </w:rPr>
              <w:t xml:space="preserve">dans le cas visé au </w:t>
            </w:r>
            <w:r w:rsidR="00C63615" w:rsidRPr="00394C65">
              <w:rPr>
                <w:rFonts w:ascii="Times New Roman" w:hAnsi="Times New Roman" w:cs="Times New Roman"/>
                <w:sz w:val="20"/>
                <w:szCs w:val="20"/>
              </w:rPr>
              <w:t>paragraphe 1</w:t>
            </w:r>
            <w:r w:rsidR="00C63615" w:rsidRPr="00394C65">
              <w:rPr>
                <w:rFonts w:ascii="Times New Roman" w:hAnsi="Times New Roman" w:cs="Times New Roman"/>
                <w:sz w:val="20"/>
                <w:szCs w:val="20"/>
                <w:vertAlign w:val="superscript"/>
              </w:rPr>
              <w:t>er</w:t>
            </w:r>
            <w:r w:rsidRPr="00394C65">
              <w:rPr>
                <w:rFonts w:ascii="Times New Roman" w:hAnsi="Times New Roman" w:cs="Times New Roman"/>
                <w:sz w:val="20"/>
                <w:szCs w:val="20"/>
              </w:rPr>
              <w:t xml:space="preserve">, 10° : aux immeubles </w:t>
            </w:r>
            <w:r w:rsidR="00F357C4" w:rsidRPr="00394C65">
              <w:rPr>
                <w:rFonts w:ascii="Times New Roman" w:hAnsi="Times New Roman" w:cs="Times New Roman"/>
                <w:sz w:val="20"/>
                <w:szCs w:val="20"/>
              </w:rPr>
              <w:t xml:space="preserve">ou </w:t>
            </w:r>
            <w:r w:rsidRPr="00394C65">
              <w:rPr>
                <w:rFonts w:ascii="Times New Roman" w:hAnsi="Times New Roman" w:cs="Times New Roman"/>
                <w:sz w:val="20"/>
                <w:szCs w:val="20"/>
              </w:rPr>
              <w:t xml:space="preserve">parties d’immeubles existants qui ont une superficie de plancher </w:t>
            </w:r>
            <w:r w:rsidR="00F357C4" w:rsidRPr="00394C65">
              <w:rPr>
                <w:rFonts w:ascii="Times New Roman" w:hAnsi="Times New Roman" w:cs="Times New Roman"/>
                <w:sz w:val="20"/>
                <w:szCs w:val="20"/>
              </w:rPr>
              <w:t xml:space="preserve">brute </w:t>
            </w:r>
            <w:r w:rsidRPr="00394C65">
              <w:rPr>
                <w:rFonts w:ascii="Times New Roman" w:hAnsi="Times New Roman" w:cs="Times New Roman"/>
                <w:sz w:val="20"/>
                <w:szCs w:val="20"/>
              </w:rPr>
              <w:t xml:space="preserve">inférieure à </w:t>
            </w:r>
            <w:r w:rsidR="007D63EE" w:rsidRPr="00394C65">
              <w:rPr>
                <w:rFonts w:ascii="Times New Roman" w:hAnsi="Times New Roman" w:cs="Times New Roman"/>
                <w:sz w:val="20"/>
                <w:szCs w:val="20"/>
              </w:rPr>
              <w:t xml:space="preserve">100 </w:t>
            </w:r>
            <w:r w:rsidRPr="00394C65">
              <w:rPr>
                <w:rFonts w:ascii="Times New Roman" w:hAnsi="Times New Roman" w:cs="Times New Roman"/>
                <w:sz w:val="20"/>
                <w:szCs w:val="20"/>
              </w:rPr>
              <w:t>m² ;</w:t>
            </w:r>
          </w:p>
          <w:p w14:paraId="672D076C" w14:textId="00FC68E8" w:rsidR="0019004D" w:rsidRPr="00394C65" w:rsidRDefault="00C63615" w:rsidP="00835AB2">
            <w:pPr>
              <w:pStyle w:val="ListParagraph"/>
              <w:numPr>
                <w:ilvl w:val="0"/>
                <w:numId w:val="23"/>
              </w:numPr>
              <w:spacing w:after="0" w:line="240" w:lineRule="auto"/>
              <w:ind w:left="455" w:hanging="425"/>
              <w:jc w:val="both"/>
              <w:rPr>
                <w:sz w:val="20"/>
                <w:szCs w:val="20"/>
              </w:rPr>
            </w:pPr>
            <w:r w:rsidRPr="00394C65">
              <w:rPr>
                <w:rFonts w:ascii="Times New Roman" w:hAnsi="Times New Roman" w:cs="Times New Roman"/>
                <w:sz w:val="20"/>
                <w:szCs w:val="20"/>
              </w:rPr>
              <w:t>d</w:t>
            </w:r>
            <w:r w:rsidR="00AE7FF7" w:rsidRPr="00394C65">
              <w:rPr>
                <w:rFonts w:ascii="Times New Roman" w:hAnsi="Times New Roman" w:cs="Times New Roman"/>
                <w:sz w:val="20"/>
                <w:szCs w:val="20"/>
              </w:rPr>
              <w:t xml:space="preserve">ans le cas visé au </w:t>
            </w:r>
            <w:r w:rsidR="00670323" w:rsidRPr="00394C65">
              <w:rPr>
                <w:rFonts w:ascii="Times New Roman" w:hAnsi="Times New Roman" w:cs="Times New Roman"/>
                <w:sz w:val="20"/>
                <w:szCs w:val="20"/>
              </w:rPr>
              <w:t>paragraphe 1</w:t>
            </w:r>
            <w:r w:rsidR="00670323" w:rsidRPr="00394C65">
              <w:rPr>
                <w:rFonts w:ascii="Times New Roman" w:hAnsi="Times New Roman" w:cs="Times New Roman"/>
                <w:sz w:val="20"/>
                <w:szCs w:val="20"/>
                <w:vertAlign w:val="superscript"/>
              </w:rPr>
              <w:t>er</w:t>
            </w:r>
            <w:r w:rsidR="00AE7FF7" w:rsidRPr="00394C65">
              <w:rPr>
                <w:rFonts w:ascii="Times New Roman" w:hAnsi="Times New Roman" w:cs="Times New Roman"/>
                <w:sz w:val="20"/>
                <w:szCs w:val="20"/>
              </w:rPr>
              <w:t xml:space="preserve">, 13° : aux </w:t>
            </w:r>
            <w:r w:rsidR="00A32C0E" w:rsidRPr="00394C65">
              <w:rPr>
                <w:rFonts w:ascii="Times New Roman" w:hAnsi="Times New Roman" w:cs="Times New Roman"/>
                <w:sz w:val="20"/>
                <w:szCs w:val="20"/>
              </w:rPr>
              <w:t xml:space="preserve">circulations horizontales </w:t>
            </w:r>
            <w:r w:rsidR="00AE7FF7" w:rsidRPr="00394C65">
              <w:rPr>
                <w:rFonts w:ascii="Times New Roman" w:hAnsi="Times New Roman" w:cs="Times New Roman"/>
                <w:sz w:val="20"/>
                <w:szCs w:val="20"/>
              </w:rPr>
              <w:t xml:space="preserve">qui ne sont pas situées au rez-de-chaussée, lorsque l’immeuble </w:t>
            </w:r>
            <w:r w:rsidR="00670323" w:rsidRPr="00394C65">
              <w:rPr>
                <w:rFonts w:ascii="Times New Roman" w:hAnsi="Times New Roman" w:cs="Times New Roman"/>
                <w:sz w:val="20"/>
                <w:szCs w:val="20"/>
              </w:rPr>
              <w:t xml:space="preserve">à logements multiples </w:t>
            </w:r>
            <w:r w:rsidR="00AE7FF7" w:rsidRPr="00394C65">
              <w:rPr>
                <w:rFonts w:ascii="Times New Roman" w:hAnsi="Times New Roman" w:cs="Times New Roman"/>
                <w:sz w:val="20"/>
                <w:szCs w:val="20"/>
              </w:rPr>
              <w:t>n’est pas équipé d’un ascenseur.</w:t>
            </w:r>
            <w:r w:rsidR="00A32C0E" w:rsidRPr="00394C65">
              <w:rPr>
                <w:rFonts w:ascii="Times New Roman" w:hAnsi="Times New Roman" w:cs="Times New Roman"/>
                <w:sz w:val="20"/>
                <w:szCs w:val="20"/>
              </w:rPr>
              <w:t xml:space="preserve"> </w:t>
            </w:r>
            <w:r w:rsidR="00670323" w:rsidRPr="00394C65">
              <w:rPr>
                <w:sz w:val="20"/>
                <w:szCs w:val="20"/>
              </w:rPr>
              <w:t xml:space="preserve"> </w:t>
            </w:r>
          </w:p>
        </w:tc>
        <w:tc>
          <w:tcPr>
            <w:tcW w:w="4394" w:type="dxa"/>
          </w:tcPr>
          <w:p w14:paraId="20883888" w14:textId="6795163D" w:rsidR="0019004D" w:rsidRPr="00394C65" w:rsidRDefault="0019004D" w:rsidP="00835AB2">
            <w:pPr>
              <w:jc w:val="both"/>
              <w:rPr>
                <w:iCs/>
                <w:sz w:val="20"/>
                <w:szCs w:val="20"/>
              </w:rPr>
            </w:pPr>
          </w:p>
          <w:p w14:paraId="5E34E3F3" w14:textId="6E513471" w:rsidR="0039765B" w:rsidRPr="00394C65" w:rsidRDefault="002A3648" w:rsidP="00835AB2">
            <w:pPr>
              <w:jc w:val="both"/>
              <w:rPr>
                <w:sz w:val="20"/>
                <w:szCs w:val="20"/>
              </w:rPr>
            </w:pPr>
            <w:r w:rsidRPr="00394C65">
              <w:rPr>
                <w:iCs/>
                <w:sz w:val="20"/>
                <w:szCs w:val="20"/>
              </w:rPr>
              <w:t xml:space="preserve">Remarque : Les bâtiments </w:t>
            </w:r>
            <w:r w:rsidR="0039765B" w:rsidRPr="00394C65">
              <w:rPr>
                <w:sz w:val="20"/>
                <w:szCs w:val="20"/>
              </w:rPr>
              <w:t>destinés aux activités socioculturelles</w:t>
            </w:r>
            <w:r w:rsidRPr="00394C65">
              <w:rPr>
                <w:sz w:val="20"/>
                <w:szCs w:val="20"/>
              </w:rPr>
              <w:t xml:space="preserve"> visés au 1° comprennent notamment les salles </w:t>
            </w:r>
            <w:r w:rsidR="0039765B" w:rsidRPr="00394C65">
              <w:rPr>
                <w:sz w:val="20"/>
                <w:szCs w:val="20"/>
              </w:rPr>
              <w:t xml:space="preserve">des conférences, </w:t>
            </w:r>
            <w:r w:rsidRPr="00394C65">
              <w:rPr>
                <w:sz w:val="20"/>
                <w:szCs w:val="20"/>
              </w:rPr>
              <w:t>d’</w:t>
            </w:r>
            <w:r w:rsidR="0039765B" w:rsidRPr="00394C65">
              <w:rPr>
                <w:sz w:val="20"/>
                <w:szCs w:val="20"/>
              </w:rPr>
              <w:t xml:space="preserve">expositions ou </w:t>
            </w:r>
            <w:r w:rsidRPr="00394C65">
              <w:rPr>
                <w:sz w:val="20"/>
                <w:szCs w:val="20"/>
              </w:rPr>
              <w:t xml:space="preserve">de </w:t>
            </w:r>
            <w:r w:rsidR="0039765B" w:rsidRPr="00394C65">
              <w:rPr>
                <w:sz w:val="20"/>
                <w:szCs w:val="20"/>
              </w:rPr>
              <w:t>concerts</w:t>
            </w:r>
            <w:r w:rsidRPr="00394C65">
              <w:rPr>
                <w:sz w:val="20"/>
                <w:szCs w:val="20"/>
              </w:rPr>
              <w:t>.</w:t>
            </w:r>
          </w:p>
          <w:p w14:paraId="2649E050" w14:textId="77777777" w:rsidR="00B83524" w:rsidRPr="00394C65" w:rsidRDefault="00B83524" w:rsidP="00835AB2">
            <w:pPr>
              <w:jc w:val="both"/>
              <w:rPr>
                <w:iCs/>
                <w:sz w:val="20"/>
                <w:szCs w:val="20"/>
              </w:rPr>
            </w:pPr>
          </w:p>
          <w:p w14:paraId="6F2DAB96" w14:textId="19C0BEB4" w:rsidR="00866B01" w:rsidRPr="00394C65" w:rsidRDefault="00B83524" w:rsidP="00835AB2">
            <w:pPr>
              <w:jc w:val="both"/>
              <w:rPr>
                <w:sz w:val="20"/>
                <w:szCs w:val="20"/>
              </w:rPr>
            </w:pPr>
            <w:r w:rsidRPr="00394C65">
              <w:rPr>
                <w:iCs/>
                <w:sz w:val="20"/>
                <w:szCs w:val="20"/>
              </w:rPr>
              <w:t xml:space="preserve">Les espaces ouverts accessibles au public visés au 15° comprennent </w:t>
            </w:r>
            <w:r w:rsidR="00866B01" w:rsidRPr="00394C65">
              <w:rPr>
                <w:sz w:val="20"/>
                <w:szCs w:val="20"/>
              </w:rPr>
              <w:t xml:space="preserve">la voie de circulation piétonne et les espaces destinés à la circulation des piétons, les marchés, </w:t>
            </w:r>
            <w:r w:rsidRPr="00394C65">
              <w:rPr>
                <w:sz w:val="20"/>
                <w:szCs w:val="20"/>
              </w:rPr>
              <w:t xml:space="preserve">les </w:t>
            </w:r>
            <w:r w:rsidR="00866B01" w:rsidRPr="00394C65">
              <w:rPr>
                <w:sz w:val="20"/>
                <w:szCs w:val="20"/>
              </w:rPr>
              <w:t xml:space="preserve">foires, </w:t>
            </w:r>
            <w:r w:rsidRPr="00394C65">
              <w:rPr>
                <w:sz w:val="20"/>
                <w:szCs w:val="20"/>
              </w:rPr>
              <w:t xml:space="preserve">les </w:t>
            </w:r>
            <w:r w:rsidR="00866B01" w:rsidRPr="00394C65">
              <w:rPr>
                <w:sz w:val="20"/>
                <w:szCs w:val="20"/>
              </w:rPr>
              <w:t>passerelles et passages souterrains ainsi que les espaces verts tels que les parcs, plaine de jeux et les cimetières</w:t>
            </w:r>
            <w:r w:rsidRPr="00394C65">
              <w:rPr>
                <w:sz w:val="20"/>
                <w:szCs w:val="20"/>
              </w:rPr>
              <w:t>.</w:t>
            </w:r>
          </w:p>
          <w:p w14:paraId="4207948A" w14:textId="10C21BDB" w:rsidR="00B83524" w:rsidRPr="00394C65" w:rsidRDefault="00B83524" w:rsidP="00835AB2">
            <w:pPr>
              <w:jc w:val="both"/>
              <w:rPr>
                <w:sz w:val="20"/>
                <w:szCs w:val="20"/>
              </w:rPr>
            </w:pPr>
          </w:p>
          <w:p w14:paraId="461C81B3" w14:textId="7B8431B3" w:rsidR="00866B01" w:rsidRPr="00394C65" w:rsidRDefault="00B83524" w:rsidP="00835AB2">
            <w:pPr>
              <w:jc w:val="both"/>
              <w:rPr>
                <w:sz w:val="20"/>
                <w:szCs w:val="20"/>
              </w:rPr>
            </w:pPr>
            <w:r w:rsidRPr="00394C65">
              <w:rPr>
                <w:sz w:val="20"/>
                <w:szCs w:val="20"/>
              </w:rPr>
              <w:t xml:space="preserve">Les </w:t>
            </w:r>
            <w:r w:rsidR="00866B01" w:rsidRPr="00394C65">
              <w:rPr>
                <w:sz w:val="20"/>
                <w:szCs w:val="20"/>
              </w:rPr>
              <w:t xml:space="preserve">équipements accessibles au public </w:t>
            </w:r>
            <w:r w:rsidRPr="00394C65">
              <w:rPr>
                <w:sz w:val="20"/>
                <w:szCs w:val="20"/>
              </w:rPr>
              <w:t xml:space="preserve">visés au 16° comprennent notamment les </w:t>
            </w:r>
            <w:r w:rsidR="00866B01" w:rsidRPr="00394C65">
              <w:rPr>
                <w:sz w:val="20"/>
                <w:szCs w:val="20"/>
              </w:rPr>
              <w:t xml:space="preserve">toilettes publiques, les boîtes aux lettres publiques, les distributeurs de billets de banque et autres appareils permettant le libre-service, le paiement ou l’accès à l’information par des moyens électroniques, </w:t>
            </w:r>
            <w:r w:rsidRPr="00394C65">
              <w:rPr>
                <w:sz w:val="20"/>
                <w:szCs w:val="20"/>
              </w:rPr>
              <w:t xml:space="preserve">les </w:t>
            </w:r>
            <w:r w:rsidR="00866B01" w:rsidRPr="00394C65">
              <w:rPr>
                <w:sz w:val="20"/>
                <w:szCs w:val="20"/>
              </w:rPr>
              <w:t>horodateurs</w:t>
            </w:r>
            <w:r w:rsidRPr="00394C65">
              <w:rPr>
                <w:sz w:val="20"/>
                <w:szCs w:val="20"/>
              </w:rPr>
              <w:t xml:space="preserve"> et les </w:t>
            </w:r>
            <w:r w:rsidR="00866B01" w:rsidRPr="00394C65">
              <w:rPr>
                <w:sz w:val="20"/>
                <w:szCs w:val="20"/>
              </w:rPr>
              <w:t>bornes électriques.</w:t>
            </w:r>
          </w:p>
          <w:p w14:paraId="07A0CFEA" w14:textId="77777777" w:rsidR="00C763A2" w:rsidRPr="00394C65" w:rsidRDefault="00C763A2" w:rsidP="00835AB2">
            <w:pPr>
              <w:jc w:val="both"/>
              <w:rPr>
                <w:i/>
                <w:iCs/>
                <w:sz w:val="20"/>
                <w:szCs w:val="20"/>
              </w:rPr>
            </w:pPr>
          </w:p>
          <w:p w14:paraId="37DE1648" w14:textId="77777777" w:rsidR="00C763A2" w:rsidRPr="00394C65" w:rsidRDefault="00C763A2" w:rsidP="00835AB2">
            <w:pPr>
              <w:jc w:val="both"/>
              <w:rPr>
                <w:i/>
                <w:iCs/>
                <w:sz w:val="20"/>
                <w:szCs w:val="20"/>
              </w:rPr>
            </w:pPr>
          </w:p>
          <w:p w14:paraId="32FD20C9" w14:textId="77777777" w:rsidR="00C763A2" w:rsidRPr="00394C65" w:rsidRDefault="00C763A2" w:rsidP="00835AB2">
            <w:pPr>
              <w:jc w:val="both"/>
              <w:rPr>
                <w:i/>
                <w:iCs/>
                <w:sz w:val="20"/>
                <w:szCs w:val="20"/>
              </w:rPr>
            </w:pPr>
          </w:p>
          <w:p w14:paraId="1F8894AE" w14:textId="77777777" w:rsidR="00C763A2" w:rsidRPr="00394C65" w:rsidRDefault="00C763A2" w:rsidP="00835AB2">
            <w:pPr>
              <w:jc w:val="both"/>
              <w:rPr>
                <w:i/>
                <w:iCs/>
                <w:sz w:val="20"/>
                <w:szCs w:val="20"/>
              </w:rPr>
            </w:pPr>
          </w:p>
          <w:p w14:paraId="3F8B57CE" w14:textId="77777777" w:rsidR="00C763A2" w:rsidRPr="00394C65" w:rsidRDefault="00C763A2" w:rsidP="00835AB2">
            <w:pPr>
              <w:jc w:val="both"/>
              <w:rPr>
                <w:i/>
                <w:iCs/>
                <w:sz w:val="20"/>
                <w:szCs w:val="20"/>
              </w:rPr>
            </w:pPr>
          </w:p>
          <w:p w14:paraId="235CCCA2" w14:textId="77777777" w:rsidR="00C763A2" w:rsidRPr="00394C65" w:rsidRDefault="00C763A2" w:rsidP="00835AB2">
            <w:pPr>
              <w:jc w:val="both"/>
              <w:rPr>
                <w:i/>
                <w:iCs/>
                <w:sz w:val="20"/>
                <w:szCs w:val="20"/>
              </w:rPr>
            </w:pPr>
          </w:p>
          <w:p w14:paraId="7443CAD3" w14:textId="77777777" w:rsidR="00C763A2" w:rsidRPr="00394C65" w:rsidRDefault="00C763A2" w:rsidP="00835AB2">
            <w:pPr>
              <w:jc w:val="both"/>
              <w:rPr>
                <w:i/>
                <w:iCs/>
                <w:sz w:val="20"/>
                <w:szCs w:val="20"/>
              </w:rPr>
            </w:pPr>
          </w:p>
          <w:p w14:paraId="4582AB52" w14:textId="3A7D4F98" w:rsidR="00C763A2" w:rsidRPr="00394C65" w:rsidRDefault="00C763A2" w:rsidP="004B1319">
            <w:pPr>
              <w:pStyle w:val="CommentText"/>
              <w:spacing w:after="0"/>
              <w:jc w:val="both"/>
              <w:rPr>
                <w:i/>
                <w:iCs/>
              </w:rPr>
            </w:pPr>
          </w:p>
        </w:tc>
      </w:tr>
      <w:tr w:rsidR="00394C65" w:rsidRPr="00394C65" w14:paraId="51151002" w14:textId="77777777" w:rsidTr="00650100">
        <w:tc>
          <w:tcPr>
            <w:tcW w:w="9776" w:type="dxa"/>
          </w:tcPr>
          <w:p w14:paraId="0138655B" w14:textId="2697E383" w:rsidR="006D7987" w:rsidRPr="00394C65" w:rsidRDefault="006D7987" w:rsidP="00AE217B">
            <w:pPr>
              <w:jc w:val="both"/>
              <w:rPr>
                <w:b/>
                <w:sz w:val="20"/>
                <w:szCs w:val="20"/>
              </w:rPr>
            </w:pPr>
            <w:r w:rsidRPr="00394C65">
              <w:rPr>
                <w:b/>
                <w:sz w:val="20"/>
                <w:szCs w:val="20"/>
              </w:rPr>
              <w:lastRenderedPageBreak/>
              <w:t xml:space="preserve">CHAPITRE 2 : REGLES APLICABLES </w:t>
            </w:r>
            <w:r w:rsidR="00AE217B" w:rsidRPr="00394C65">
              <w:rPr>
                <w:b/>
                <w:sz w:val="20"/>
                <w:szCs w:val="20"/>
              </w:rPr>
              <w:t xml:space="preserve">AUX </w:t>
            </w:r>
            <w:r w:rsidR="00C84572" w:rsidRPr="00394C65">
              <w:rPr>
                <w:b/>
                <w:sz w:val="20"/>
                <w:szCs w:val="20"/>
              </w:rPr>
              <w:t>BÂTIMENT</w:t>
            </w:r>
            <w:r w:rsidR="00AE217B" w:rsidRPr="00394C65">
              <w:rPr>
                <w:b/>
                <w:sz w:val="20"/>
                <w:szCs w:val="20"/>
              </w:rPr>
              <w:t>S</w:t>
            </w:r>
            <w:r w:rsidR="00C84572" w:rsidRPr="00394C65">
              <w:rPr>
                <w:b/>
                <w:sz w:val="20"/>
                <w:szCs w:val="20"/>
              </w:rPr>
              <w:t xml:space="preserve"> </w:t>
            </w:r>
            <w:r w:rsidRPr="00394C65">
              <w:rPr>
                <w:b/>
                <w:sz w:val="20"/>
                <w:szCs w:val="20"/>
              </w:rPr>
              <w:t>ACCESSIBLE</w:t>
            </w:r>
            <w:r w:rsidR="00AE217B" w:rsidRPr="00394C65">
              <w:rPr>
                <w:b/>
                <w:sz w:val="20"/>
                <w:szCs w:val="20"/>
              </w:rPr>
              <w:t>S</w:t>
            </w:r>
            <w:r w:rsidRPr="00394C65">
              <w:rPr>
                <w:b/>
                <w:sz w:val="20"/>
                <w:szCs w:val="20"/>
              </w:rPr>
              <w:t xml:space="preserve"> AU PUBLIC</w:t>
            </w:r>
          </w:p>
        </w:tc>
        <w:tc>
          <w:tcPr>
            <w:tcW w:w="4394" w:type="dxa"/>
          </w:tcPr>
          <w:p w14:paraId="6B95135F" w14:textId="77777777" w:rsidR="006D7987" w:rsidRPr="00394C65" w:rsidRDefault="006D7987" w:rsidP="00835AB2">
            <w:pPr>
              <w:jc w:val="both"/>
              <w:rPr>
                <w:sz w:val="20"/>
                <w:szCs w:val="20"/>
              </w:rPr>
            </w:pPr>
          </w:p>
        </w:tc>
      </w:tr>
      <w:tr w:rsidR="00394C65" w:rsidRPr="00394C65" w14:paraId="2E8669B1" w14:textId="77777777" w:rsidTr="00650100">
        <w:tc>
          <w:tcPr>
            <w:tcW w:w="9776" w:type="dxa"/>
          </w:tcPr>
          <w:p w14:paraId="231E28FD" w14:textId="22BACBD3" w:rsidR="006D7987" w:rsidRPr="00394C65" w:rsidRDefault="00372E4D" w:rsidP="00835AB2">
            <w:pPr>
              <w:jc w:val="both"/>
              <w:rPr>
                <w:b/>
                <w:sz w:val="20"/>
                <w:szCs w:val="20"/>
              </w:rPr>
            </w:pPr>
            <w:r w:rsidRPr="00394C65">
              <w:rPr>
                <w:b/>
                <w:sz w:val="20"/>
                <w:szCs w:val="20"/>
              </w:rPr>
              <w:t>Section 1</w:t>
            </w:r>
            <w:r w:rsidR="005A759D" w:rsidRPr="00394C65">
              <w:rPr>
                <w:b/>
                <w:sz w:val="20"/>
                <w:szCs w:val="20"/>
                <w:vertAlign w:val="superscript"/>
              </w:rPr>
              <w:t>ère</w:t>
            </w:r>
            <w:r w:rsidR="005A759D" w:rsidRPr="00394C65">
              <w:rPr>
                <w:b/>
                <w:sz w:val="20"/>
                <w:szCs w:val="20"/>
              </w:rPr>
              <w:t xml:space="preserve"> </w:t>
            </w:r>
            <w:r w:rsidRPr="00394C65">
              <w:rPr>
                <w:b/>
                <w:sz w:val="20"/>
                <w:szCs w:val="20"/>
              </w:rPr>
              <w:t xml:space="preserve">: </w:t>
            </w:r>
            <w:r w:rsidR="006D7987" w:rsidRPr="00394C65">
              <w:rPr>
                <w:b/>
                <w:sz w:val="20"/>
                <w:szCs w:val="20"/>
              </w:rPr>
              <w:t>Généralités </w:t>
            </w:r>
          </w:p>
        </w:tc>
        <w:tc>
          <w:tcPr>
            <w:tcW w:w="4394" w:type="dxa"/>
          </w:tcPr>
          <w:p w14:paraId="571728D5" w14:textId="77777777" w:rsidR="006D7987" w:rsidRPr="00394C65" w:rsidRDefault="006D7987" w:rsidP="00835AB2">
            <w:pPr>
              <w:jc w:val="both"/>
              <w:rPr>
                <w:sz w:val="20"/>
                <w:szCs w:val="20"/>
              </w:rPr>
            </w:pPr>
          </w:p>
        </w:tc>
      </w:tr>
      <w:tr w:rsidR="00394C65" w:rsidRPr="00394C65" w14:paraId="3252341D" w14:textId="77777777" w:rsidTr="00650100">
        <w:tc>
          <w:tcPr>
            <w:tcW w:w="9776" w:type="dxa"/>
          </w:tcPr>
          <w:p w14:paraId="179843B0" w14:textId="3200A827" w:rsidR="006D7987" w:rsidRPr="00394C65" w:rsidRDefault="006D7987" w:rsidP="00835AB2">
            <w:pPr>
              <w:jc w:val="both"/>
              <w:rPr>
                <w:b/>
                <w:sz w:val="20"/>
                <w:szCs w:val="20"/>
              </w:rPr>
            </w:pPr>
            <w:r w:rsidRPr="00394C65">
              <w:rPr>
                <w:b/>
                <w:sz w:val="20"/>
                <w:szCs w:val="20"/>
              </w:rPr>
              <w:t xml:space="preserve">Article </w:t>
            </w:r>
            <w:r w:rsidR="00C84572" w:rsidRPr="00394C65">
              <w:rPr>
                <w:b/>
                <w:sz w:val="20"/>
                <w:szCs w:val="20"/>
              </w:rPr>
              <w:t xml:space="preserve">3 </w:t>
            </w:r>
            <w:r w:rsidRPr="00394C65">
              <w:rPr>
                <w:b/>
                <w:sz w:val="20"/>
                <w:szCs w:val="20"/>
              </w:rPr>
              <w:t>– Aire de rotation</w:t>
            </w:r>
          </w:p>
        </w:tc>
        <w:tc>
          <w:tcPr>
            <w:tcW w:w="4394" w:type="dxa"/>
          </w:tcPr>
          <w:p w14:paraId="47696B9D" w14:textId="77777777" w:rsidR="006D7987" w:rsidRPr="00394C65" w:rsidRDefault="006D7987" w:rsidP="00835AB2">
            <w:pPr>
              <w:jc w:val="both"/>
              <w:rPr>
                <w:sz w:val="20"/>
                <w:szCs w:val="20"/>
              </w:rPr>
            </w:pPr>
          </w:p>
        </w:tc>
      </w:tr>
      <w:tr w:rsidR="00394C65" w:rsidRPr="00394C65" w14:paraId="4C207F76" w14:textId="77777777" w:rsidTr="00650100">
        <w:tc>
          <w:tcPr>
            <w:tcW w:w="9776" w:type="dxa"/>
          </w:tcPr>
          <w:p w14:paraId="592F3707" w14:textId="081A07B2" w:rsidR="007D63EE" w:rsidRPr="00394C65" w:rsidRDefault="007D63EE" w:rsidP="007D63EE">
            <w:pPr>
              <w:rPr>
                <w:rFonts w:eastAsiaTheme="minorHAnsi"/>
                <w:sz w:val="20"/>
                <w:szCs w:val="20"/>
                <w:lang w:eastAsia="en-US"/>
              </w:rPr>
            </w:pPr>
            <w:r w:rsidRPr="00394C65">
              <w:rPr>
                <w:sz w:val="20"/>
                <w:szCs w:val="20"/>
              </w:rPr>
              <w:t>§ 1</w:t>
            </w:r>
            <w:r w:rsidRPr="00394C65">
              <w:rPr>
                <w:sz w:val="20"/>
                <w:szCs w:val="20"/>
                <w:vertAlign w:val="superscript"/>
              </w:rPr>
              <w:t>er</w:t>
            </w:r>
            <w:r w:rsidRPr="00394C65">
              <w:rPr>
                <w:sz w:val="20"/>
                <w:szCs w:val="20"/>
              </w:rPr>
              <w:t>. U</w:t>
            </w:r>
            <w:r w:rsidRPr="00394C65">
              <w:rPr>
                <w:rFonts w:eastAsiaTheme="minorHAnsi"/>
                <w:sz w:val="20"/>
                <w:szCs w:val="20"/>
                <w:lang w:eastAsia="en-US"/>
              </w:rPr>
              <w:t xml:space="preserve">ne aire de rotation répond aux caractéristiques suivantes : </w:t>
            </w:r>
            <w:r w:rsidRPr="00394C65">
              <w:rPr>
                <w:rFonts w:eastAsiaTheme="minorHAnsi"/>
                <w:sz w:val="20"/>
                <w:szCs w:val="20"/>
                <w:lang w:eastAsia="en-US"/>
              </w:rPr>
              <w:br/>
              <w:t xml:space="preserve">- avoir 1,50 m de diamètre au minimum ; </w:t>
            </w:r>
            <w:r w:rsidRPr="00394C65">
              <w:rPr>
                <w:rFonts w:eastAsiaTheme="minorHAnsi"/>
                <w:sz w:val="20"/>
                <w:szCs w:val="20"/>
                <w:lang w:eastAsia="en-US"/>
              </w:rPr>
              <w:br/>
              <w:t xml:space="preserve">- être horizontale et stable ; </w:t>
            </w:r>
            <w:r w:rsidRPr="00394C65">
              <w:rPr>
                <w:rFonts w:eastAsiaTheme="minorHAnsi"/>
                <w:sz w:val="20"/>
                <w:szCs w:val="20"/>
                <w:lang w:eastAsia="en-US"/>
              </w:rPr>
              <w:br/>
              <w:t>- être libre de tout obstacle ou débattement de porte ;</w:t>
            </w:r>
          </w:p>
          <w:p w14:paraId="738D2038" w14:textId="77777777" w:rsidR="007D63EE" w:rsidRPr="00394C65" w:rsidRDefault="007D63EE" w:rsidP="004B1319">
            <w:pPr>
              <w:rPr>
                <w:rFonts w:eastAsiaTheme="minorHAnsi"/>
                <w:sz w:val="20"/>
                <w:szCs w:val="20"/>
                <w:lang w:eastAsia="en-US"/>
              </w:rPr>
            </w:pPr>
          </w:p>
          <w:p w14:paraId="03A10B3E" w14:textId="1EB98D0E" w:rsidR="006D7987" w:rsidRPr="00394C65" w:rsidRDefault="007D63EE" w:rsidP="00835AB2">
            <w:pPr>
              <w:jc w:val="both"/>
              <w:rPr>
                <w:sz w:val="20"/>
                <w:szCs w:val="20"/>
              </w:rPr>
            </w:pPr>
            <w:r w:rsidRPr="00394C65">
              <w:rPr>
                <w:sz w:val="20"/>
                <w:szCs w:val="20"/>
              </w:rPr>
              <w:t xml:space="preserve">§2. </w:t>
            </w:r>
            <w:r w:rsidR="006D7987" w:rsidRPr="00394C65">
              <w:rPr>
                <w:sz w:val="20"/>
                <w:szCs w:val="20"/>
              </w:rPr>
              <w:t>Une aire de rotation est placée :</w:t>
            </w:r>
          </w:p>
          <w:p w14:paraId="54390431" w14:textId="6A2B2D6C" w:rsidR="006D7987" w:rsidRPr="00394C65" w:rsidRDefault="006D7987" w:rsidP="00835AB2">
            <w:pPr>
              <w:pStyle w:val="CommentText"/>
              <w:numPr>
                <w:ilvl w:val="0"/>
                <w:numId w:val="24"/>
              </w:numPr>
              <w:spacing w:after="0"/>
              <w:jc w:val="both"/>
              <w:rPr>
                <w:rFonts w:ascii="Times New Roman" w:hAnsi="Times New Roman" w:cs="Times New Roman"/>
              </w:rPr>
            </w:pPr>
            <w:r w:rsidRPr="00394C65">
              <w:rPr>
                <w:rFonts w:ascii="Times New Roman" w:hAnsi="Times New Roman" w:cs="Times New Roman"/>
              </w:rPr>
              <w:t xml:space="preserve">devant et derrière </w:t>
            </w:r>
            <w:r w:rsidR="00C763A2" w:rsidRPr="00394C65">
              <w:rPr>
                <w:rFonts w:ascii="Times New Roman" w:hAnsi="Times New Roman" w:cs="Times New Roman"/>
                <w:noProof/>
              </w:rPr>
              <w:t>tout débattement de porte</w:t>
            </w:r>
            <w:r w:rsidR="00500AEB" w:rsidRPr="00394C65">
              <w:rPr>
                <w:rFonts w:ascii="Times New Roman" w:hAnsi="Times New Roman" w:cs="Times New Roman"/>
                <w:noProof/>
              </w:rPr>
              <w:t> ;</w:t>
            </w:r>
          </w:p>
          <w:p w14:paraId="2A62AE42" w14:textId="77777777" w:rsidR="006D7987" w:rsidRPr="00394C65" w:rsidRDefault="006D7987" w:rsidP="00835AB2">
            <w:pPr>
              <w:pStyle w:val="ListParagraph"/>
              <w:numPr>
                <w:ilvl w:val="0"/>
                <w:numId w:val="24"/>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devant tout équipement ; </w:t>
            </w:r>
          </w:p>
          <w:p w14:paraId="26C3E761" w14:textId="2FDEF474" w:rsidR="006D7987" w:rsidRPr="00394C65" w:rsidRDefault="006D7987" w:rsidP="00835AB2">
            <w:pPr>
              <w:pStyle w:val="ListParagraph"/>
              <w:numPr>
                <w:ilvl w:val="0"/>
                <w:numId w:val="24"/>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à chaque changement de direction</w:t>
            </w:r>
            <w:r w:rsidR="0030008B" w:rsidRPr="00394C65">
              <w:rPr>
                <w:rFonts w:ascii="Times New Roman" w:hAnsi="Times New Roman" w:cs="Times New Roman"/>
                <w:sz w:val="20"/>
                <w:szCs w:val="20"/>
              </w:rPr>
              <w:t xml:space="preserve"> d’une circulation horizontale</w:t>
            </w:r>
            <w:r w:rsidRPr="00394C65">
              <w:rPr>
                <w:rFonts w:ascii="Times New Roman" w:hAnsi="Times New Roman" w:cs="Times New Roman"/>
                <w:sz w:val="20"/>
                <w:szCs w:val="20"/>
              </w:rPr>
              <w:t xml:space="preserve"> ; </w:t>
            </w:r>
          </w:p>
          <w:p w14:paraId="248B1983" w14:textId="157A667F" w:rsidR="006D7987" w:rsidRPr="00394C65" w:rsidRDefault="006D7987" w:rsidP="00835AB2">
            <w:pPr>
              <w:pStyle w:val="ListParagraph"/>
              <w:numPr>
                <w:ilvl w:val="0"/>
                <w:numId w:val="24"/>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à chaque extrémité d’une rampe, escalator </w:t>
            </w:r>
            <w:r w:rsidR="00500AEB" w:rsidRPr="00394C65">
              <w:rPr>
                <w:rFonts w:ascii="Times New Roman" w:hAnsi="Times New Roman" w:cs="Times New Roman"/>
                <w:sz w:val="20"/>
                <w:szCs w:val="20"/>
              </w:rPr>
              <w:t xml:space="preserve">ou </w:t>
            </w:r>
            <w:r w:rsidRPr="00394C65">
              <w:rPr>
                <w:rFonts w:ascii="Times New Roman" w:hAnsi="Times New Roman" w:cs="Times New Roman"/>
                <w:sz w:val="20"/>
                <w:szCs w:val="20"/>
              </w:rPr>
              <w:t>tapis roulant.</w:t>
            </w:r>
          </w:p>
        </w:tc>
        <w:tc>
          <w:tcPr>
            <w:tcW w:w="4394" w:type="dxa"/>
          </w:tcPr>
          <w:p w14:paraId="075E6A4B" w14:textId="77777777" w:rsidR="006D7987" w:rsidRPr="00394C65" w:rsidRDefault="006D7987" w:rsidP="00835AB2">
            <w:pPr>
              <w:jc w:val="both"/>
              <w:rPr>
                <w:sz w:val="20"/>
                <w:szCs w:val="20"/>
              </w:rPr>
            </w:pPr>
          </w:p>
        </w:tc>
      </w:tr>
      <w:tr w:rsidR="00394C65" w:rsidRPr="00394C65" w14:paraId="1ADBC0C6" w14:textId="77777777" w:rsidTr="00650100">
        <w:tc>
          <w:tcPr>
            <w:tcW w:w="9776" w:type="dxa"/>
          </w:tcPr>
          <w:p w14:paraId="4DE2886B" w14:textId="02BAFC58" w:rsidR="006D7987" w:rsidRPr="00394C65" w:rsidRDefault="006D7987" w:rsidP="00835AB2">
            <w:pPr>
              <w:jc w:val="both"/>
              <w:rPr>
                <w:b/>
                <w:sz w:val="20"/>
                <w:szCs w:val="20"/>
              </w:rPr>
            </w:pPr>
            <w:r w:rsidRPr="00394C65">
              <w:rPr>
                <w:b/>
                <w:sz w:val="20"/>
                <w:szCs w:val="20"/>
              </w:rPr>
              <w:t xml:space="preserve">Article </w:t>
            </w:r>
            <w:r w:rsidR="00C84572" w:rsidRPr="00394C65">
              <w:rPr>
                <w:b/>
                <w:sz w:val="20"/>
                <w:szCs w:val="20"/>
              </w:rPr>
              <w:t xml:space="preserve">4 </w:t>
            </w:r>
            <w:r w:rsidRPr="00394C65">
              <w:rPr>
                <w:b/>
                <w:sz w:val="20"/>
                <w:szCs w:val="20"/>
              </w:rPr>
              <w:t>– Aire de transfert</w:t>
            </w:r>
          </w:p>
        </w:tc>
        <w:tc>
          <w:tcPr>
            <w:tcW w:w="4394" w:type="dxa"/>
          </w:tcPr>
          <w:p w14:paraId="069846AB" w14:textId="77777777" w:rsidR="006D7987" w:rsidRPr="00394C65" w:rsidRDefault="006D7987" w:rsidP="00835AB2">
            <w:pPr>
              <w:jc w:val="both"/>
              <w:rPr>
                <w:sz w:val="20"/>
                <w:szCs w:val="20"/>
              </w:rPr>
            </w:pPr>
          </w:p>
        </w:tc>
      </w:tr>
      <w:tr w:rsidR="00394C65" w:rsidRPr="00394C65" w14:paraId="41FCC764" w14:textId="77777777" w:rsidTr="00650100">
        <w:tc>
          <w:tcPr>
            <w:tcW w:w="9776" w:type="dxa"/>
          </w:tcPr>
          <w:p w14:paraId="56F62A4D" w14:textId="28E704A4" w:rsidR="007D63EE" w:rsidRPr="00394C65" w:rsidRDefault="007D63EE" w:rsidP="004B1319">
            <w:pPr>
              <w:rPr>
                <w:sz w:val="20"/>
                <w:szCs w:val="20"/>
                <w:lang w:eastAsia="fr-BE"/>
              </w:rPr>
            </w:pPr>
            <w:r w:rsidRPr="00394C65">
              <w:rPr>
                <w:sz w:val="20"/>
                <w:szCs w:val="20"/>
              </w:rPr>
              <w:t>§ 1</w:t>
            </w:r>
            <w:r w:rsidRPr="00394C65">
              <w:rPr>
                <w:sz w:val="20"/>
                <w:szCs w:val="20"/>
                <w:vertAlign w:val="superscript"/>
              </w:rPr>
              <w:t>er</w:t>
            </w:r>
            <w:r w:rsidRPr="00394C65">
              <w:rPr>
                <w:sz w:val="20"/>
                <w:szCs w:val="20"/>
              </w:rPr>
              <w:t xml:space="preserve">. Une </w:t>
            </w:r>
            <w:r w:rsidRPr="00394C65">
              <w:rPr>
                <w:sz w:val="20"/>
                <w:szCs w:val="20"/>
                <w:lang w:eastAsia="fr-BE"/>
              </w:rPr>
              <w:t xml:space="preserve">aire de transfert répond aux caractéristiques suivantes : </w:t>
            </w:r>
            <w:r w:rsidRPr="00394C65">
              <w:rPr>
                <w:sz w:val="20"/>
                <w:szCs w:val="20"/>
                <w:lang w:eastAsia="fr-BE"/>
              </w:rPr>
              <w:br/>
              <w:t xml:space="preserve">- avoir 1,10m au minimum depuis l’axe de l’assise </w:t>
            </w:r>
            <w:r w:rsidRPr="00394C65">
              <w:rPr>
                <w:sz w:val="20"/>
                <w:szCs w:val="20"/>
                <w:lang w:eastAsia="fr-BE"/>
              </w:rPr>
              <w:br/>
              <w:t>- avoir une aire d’approche de 0,90 m contigüe au mobilier ;</w:t>
            </w:r>
            <w:r w:rsidRPr="00394C65">
              <w:rPr>
                <w:sz w:val="20"/>
                <w:szCs w:val="20"/>
                <w:lang w:eastAsia="fr-BE"/>
              </w:rPr>
              <w:br/>
              <w:t xml:space="preserve">- être horizontale et stable ; </w:t>
            </w:r>
            <w:r w:rsidRPr="00394C65">
              <w:rPr>
                <w:sz w:val="20"/>
                <w:szCs w:val="20"/>
                <w:lang w:eastAsia="fr-BE"/>
              </w:rPr>
              <w:br/>
              <w:t xml:space="preserve">- être libre de tout obstacle ou débattement de porte ; </w:t>
            </w:r>
            <w:r w:rsidRPr="00394C65">
              <w:rPr>
                <w:sz w:val="20"/>
                <w:szCs w:val="20"/>
                <w:lang w:eastAsia="fr-BE"/>
              </w:rPr>
              <w:br/>
              <w:t>- être directement accessible depuis une aire de rotation ;</w:t>
            </w:r>
          </w:p>
          <w:p w14:paraId="6D6A3E11" w14:textId="77777777" w:rsidR="007D63EE" w:rsidRPr="00394C65" w:rsidRDefault="007D63EE" w:rsidP="00835AB2">
            <w:pPr>
              <w:jc w:val="both"/>
              <w:rPr>
                <w:sz w:val="20"/>
                <w:szCs w:val="20"/>
                <w:lang w:eastAsia="fr-BE"/>
              </w:rPr>
            </w:pPr>
          </w:p>
          <w:p w14:paraId="744C21C6" w14:textId="39EB8D3C" w:rsidR="006D7987" w:rsidRPr="00394C65" w:rsidRDefault="007D63EE" w:rsidP="00835AB2">
            <w:pPr>
              <w:jc w:val="both"/>
              <w:rPr>
                <w:sz w:val="20"/>
                <w:szCs w:val="20"/>
              </w:rPr>
            </w:pPr>
            <w:r w:rsidRPr="00394C65">
              <w:rPr>
                <w:sz w:val="20"/>
                <w:szCs w:val="20"/>
              </w:rPr>
              <w:t xml:space="preserve">§2. </w:t>
            </w:r>
            <w:r w:rsidR="006D7987" w:rsidRPr="00394C65">
              <w:rPr>
                <w:sz w:val="20"/>
                <w:szCs w:val="20"/>
              </w:rPr>
              <w:t>Une aire de transfert est placée :</w:t>
            </w:r>
          </w:p>
          <w:p w14:paraId="27B89E7E" w14:textId="77777777" w:rsidR="006D7987" w:rsidRPr="00394C65" w:rsidRDefault="006D7987" w:rsidP="00835AB2">
            <w:pPr>
              <w:pStyle w:val="ListParagraph"/>
              <w:numPr>
                <w:ilvl w:val="0"/>
                <w:numId w:val="25"/>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lastRenderedPageBreak/>
              <w:t xml:space="preserve">à côté de la cuvette du WC et du siège de douche adaptés ; </w:t>
            </w:r>
          </w:p>
          <w:p w14:paraId="70A52176" w14:textId="2D8FCD83" w:rsidR="006D7987" w:rsidRPr="00394C65" w:rsidRDefault="006D7987" w:rsidP="00835AB2">
            <w:pPr>
              <w:pStyle w:val="ListParagraph"/>
              <w:numPr>
                <w:ilvl w:val="0"/>
                <w:numId w:val="25"/>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à côté du lit</w:t>
            </w:r>
            <w:r w:rsidR="00500AEB" w:rsidRPr="00394C65">
              <w:rPr>
                <w:rFonts w:ascii="Times New Roman" w:hAnsi="Times New Roman" w:cs="Times New Roman"/>
                <w:sz w:val="20"/>
                <w:szCs w:val="20"/>
              </w:rPr>
              <w:t xml:space="preserve"> et</w:t>
            </w:r>
            <w:r w:rsidRPr="00394C65">
              <w:rPr>
                <w:rFonts w:ascii="Times New Roman" w:hAnsi="Times New Roman" w:cs="Times New Roman"/>
                <w:sz w:val="20"/>
                <w:szCs w:val="20"/>
              </w:rPr>
              <w:t xml:space="preserve"> de la baignoire</w:t>
            </w:r>
            <w:r w:rsidR="00500AEB" w:rsidRPr="00394C65">
              <w:rPr>
                <w:rFonts w:ascii="Times New Roman" w:hAnsi="Times New Roman" w:cs="Times New Roman"/>
                <w:sz w:val="20"/>
                <w:szCs w:val="20"/>
              </w:rPr>
              <w:t> ;</w:t>
            </w:r>
          </w:p>
          <w:p w14:paraId="01159264" w14:textId="2C026AE9" w:rsidR="006D7987" w:rsidRPr="00394C65" w:rsidRDefault="006D7987" w:rsidP="00835AB2">
            <w:pPr>
              <w:pStyle w:val="ListParagraph"/>
              <w:numPr>
                <w:ilvl w:val="0"/>
                <w:numId w:val="25"/>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de toute assise réservée ou non.</w:t>
            </w:r>
          </w:p>
        </w:tc>
        <w:tc>
          <w:tcPr>
            <w:tcW w:w="4394" w:type="dxa"/>
          </w:tcPr>
          <w:p w14:paraId="339DA62C" w14:textId="184E13E4" w:rsidR="006D7987" w:rsidRPr="00394C65" w:rsidRDefault="00650100" w:rsidP="00835AB2">
            <w:pPr>
              <w:jc w:val="both"/>
              <w:rPr>
                <w:sz w:val="20"/>
                <w:szCs w:val="20"/>
              </w:rPr>
            </w:pPr>
            <w:r w:rsidRPr="00394C65">
              <w:rPr>
                <w:sz w:val="20"/>
                <w:szCs w:val="20"/>
              </w:rPr>
              <w:lastRenderedPageBreak/>
              <w:t xml:space="preserve">Remarque : Les assises visées au 3° comprennent toute assise réservée </w:t>
            </w:r>
            <w:r w:rsidR="00500AEB" w:rsidRPr="00394C65">
              <w:rPr>
                <w:sz w:val="20"/>
                <w:szCs w:val="20"/>
              </w:rPr>
              <w:t>(siège fixe) ou non (banc…).</w:t>
            </w:r>
          </w:p>
        </w:tc>
      </w:tr>
      <w:tr w:rsidR="00394C65" w:rsidRPr="00394C65" w14:paraId="3D2BEBAE" w14:textId="77777777" w:rsidTr="00650100">
        <w:tc>
          <w:tcPr>
            <w:tcW w:w="9776" w:type="dxa"/>
          </w:tcPr>
          <w:p w14:paraId="0F8EFF80" w14:textId="7B4947CA" w:rsidR="005535E7" w:rsidRPr="00394C65" w:rsidRDefault="00032490" w:rsidP="00835AB2">
            <w:pPr>
              <w:jc w:val="both"/>
              <w:rPr>
                <w:b/>
                <w:sz w:val="20"/>
                <w:szCs w:val="20"/>
              </w:rPr>
            </w:pPr>
            <w:r w:rsidRPr="00394C65">
              <w:rPr>
                <w:b/>
                <w:sz w:val="20"/>
                <w:szCs w:val="20"/>
              </w:rPr>
              <w:t>S</w:t>
            </w:r>
            <w:r w:rsidR="006D7987" w:rsidRPr="00394C65">
              <w:rPr>
                <w:b/>
                <w:sz w:val="20"/>
                <w:szCs w:val="20"/>
              </w:rPr>
              <w:t>ection</w:t>
            </w:r>
            <w:r w:rsidRPr="00394C65">
              <w:rPr>
                <w:b/>
                <w:sz w:val="20"/>
                <w:szCs w:val="20"/>
              </w:rPr>
              <w:t xml:space="preserve"> </w:t>
            </w:r>
            <w:r w:rsidR="00372E4D" w:rsidRPr="00394C65">
              <w:rPr>
                <w:b/>
                <w:sz w:val="20"/>
                <w:szCs w:val="20"/>
              </w:rPr>
              <w:t>2</w:t>
            </w:r>
            <w:r w:rsidR="006F30DD" w:rsidRPr="00394C65">
              <w:rPr>
                <w:b/>
                <w:sz w:val="20"/>
                <w:szCs w:val="20"/>
              </w:rPr>
              <w:t> </w:t>
            </w:r>
            <w:r w:rsidR="00C84572" w:rsidRPr="00394C65">
              <w:rPr>
                <w:b/>
                <w:sz w:val="20"/>
                <w:szCs w:val="20"/>
              </w:rPr>
              <w:t>: C</w:t>
            </w:r>
            <w:r w:rsidR="006D7987" w:rsidRPr="00394C65">
              <w:rPr>
                <w:b/>
                <w:sz w:val="20"/>
                <w:szCs w:val="20"/>
              </w:rPr>
              <w:t>irculation verticale</w:t>
            </w:r>
          </w:p>
        </w:tc>
        <w:tc>
          <w:tcPr>
            <w:tcW w:w="4394" w:type="dxa"/>
          </w:tcPr>
          <w:p w14:paraId="7BEC8EB7" w14:textId="77777777" w:rsidR="005535E7" w:rsidRPr="00394C65" w:rsidRDefault="005535E7" w:rsidP="00835AB2">
            <w:pPr>
              <w:jc w:val="both"/>
              <w:rPr>
                <w:sz w:val="20"/>
                <w:szCs w:val="20"/>
              </w:rPr>
            </w:pPr>
          </w:p>
        </w:tc>
      </w:tr>
      <w:tr w:rsidR="00394C65" w:rsidRPr="00394C65" w14:paraId="2A6D16FB" w14:textId="77777777" w:rsidTr="00650100">
        <w:tc>
          <w:tcPr>
            <w:tcW w:w="9776" w:type="dxa"/>
          </w:tcPr>
          <w:p w14:paraId="44A7D1CC" w14:textId="46718C34" w:rsidR="006137B7" w:rsidRPr="00394C65" w:rsidRDefault="006137B7" w:rsidP="00835AB2">
            <w:pPr>
              <w:jc w:val="both"/>
              <w:rPr>
                <w:b/>
                <w:sz w:val="20"/>
                <w:szCs w:val="20"/>
              </w:rPr>
            </w:pPr>
            <w:r w:rsidRPr="00394C65">
              <w:rPr>
                <w:b/>
                <w:sz w:val="20"/>
                <w:szCs w:val="20"/>
              </w:rPr>
              <w:t xml:space="preserve">Article </w:t>
            </w:r>
            <w:r w:rsidR="00C84572" w:rsidRPr="00394C65">
              <w:rPr>
                <w:b/>
                <w:sz w:val="20"/>
                <w:szCs w:val="20"/>
              </w:rPr>
              <w:t xml:space="preserve">5  </w:t>
            </w:r>
            <w:r w:rsidRPr="00394C65">
              <w:rPr>
                <w:b/>
                <w:sz w:val="20"/>
                <w:szCs w:val="20"/>
              </w:rPr>
              <w:t xml:space="preserve">-  Rampe </w:t>
            </w:r>
          </w:p>
        </w:tc>
        <w:tc>
          <w:tcPr>
            <w:tcW w:w="4394" w:type="dxa"/>
          </w:tcPr>
          <w:p w14:paraId="752869BB" w14:textId="77777777" w:rsidR="006137B7" w:rsidRPr="00394C65" w:rsidRDefault="006137B7" w:rsidP="00835AB2">
            <w:pPr>
              <w:jc w:val="both"/>
              <w:rPr>
                <w:sz w:val="20"/>
                <w:szCs w:val="20"/>
              </w:rPr>
            </w:pPr>
          </w:p>
        </w:tc>
      </w:tr>
      <w:tr w:rsidR="00394C65" w:rsidRPr="00394C65" w14:paraId="21AB924F" w14:textId="77777777" w:rsidTr="00650100">
        <w:tc>
          <w:tcPr>
            <w:tcW w:w="9776" w:type="dxa"/>
          </w:tcPr>
          <w:p w14:paraId="3C89BD82" w14:textId="77777777" w:rsidR="006137B7" w:rsidRPr="00394C65" w:rsidRDefault="006137B7" w:rsidP="00835AB2">
            <w:pPr>
              <w:jc w:val="both"/>
              <w:rPr>
                <w:sz w:val="20"/>
                <w:szCs w:val="20"/>
              </w:rPr>
            </w:pPr>
            <w:r w:rsidRPr="00394C65">
              <w:rPr>
                <w:sz w:val="20"/>
                <w:szCs w:val="20"/>
              </w:rPr>
              <w:t>§ 1</w:t>
            </w:r>
            <w:r w:rsidRPr="00394C65">
              <w:rPr>
                <w:sz w:val="20"/>
                <w:szCs w:val="20"/>
                <w:vertAlign w:val="superscript"/>
              </w:rPr>
              <w:t>er</w:t>
            </w:r>
            <w:r w:rsidRPr="00394C65">
              <w:rPr>
                <w:sz w:val="20"/>
                <w:szCs w:val="20"/>
              </w:rPr>
              <w:t>. La rampe a une inclinaison maximale de 5% pour une longueur maximale d’un tenant de 10 m.</w:t>
            </w:r>
          </w:p>
          <w:p w14:paraId="0B37F886" w14:textId="18A60191" w:rsidR="006137B7" w:rsidRPr="00394C65" w:rsidRDefault="00E525CA" w:rsidP="00835AB2">
            <w:pPr>
              <w:jc w:val="both"/>
              <w:rPr>
                <w:sz w:val="20"/>
                <w:szCs w:val="20"/>
              </w:rPr>
            </w:pPr>
            <w:r w:rsidRPr="00394C65">
              <w:rPr>
                <w:sz w:val="20"/>
                <w:szCs w:val="20"/>
              </w:rPr>
              <w:t>Si l’alinéa 1</w:t>
            </w:r>
            <w:r w:rsidRPr="00394C65">
              <w:rPr>
                <w:sz w:val="20"/>
                <w:szCs w:val="20"/>
                <w:vertAlign w:val="superscript"/>
              </w:rPr>
              <w:t>er</w:t>
            </w:r>
            <w:r w:rsidRPr="00394C65">
              <w:rPr>
                <w:sz w:val="20"/>
                <w:szCs w:val="20"/>
              </w:rPr>
              <w:t xml:space="preserve"> ne peut pas être respecté </w:t>
            </w:r>
            <w:r w:rsidR="006137B7" w:rsidRPr="00394C65">
              <w:rPr>
                <w:sz w:val="20"/>
                <w:szCs w:val="20"/>
              </w:rPr>
              <w:t>pour des raisons techniques, l’inclinaison maximale suivante est admise par ordre de priorité :</w:t>
            </w:r>
          </w:p>
          <w:p w14:paraId="7D45ED6A" w14:textId="77777777" w:rsidR="006137B7" w:rsidRPr="00394C65" w:rsidRDefault="006137B7" w:rsidP="00835AB2">
            <w:pPr>
              <w:numPr>
                <w:ilvl w:val="0"/>
                <w:numId w:val="26"/>
              </w:numPr>
              <w:jc w:val="both"/>
              <w:rPr>
                <w:sz w:val="20"/>
                <w:szCs w:val="20"/>
              </w:rPr>
            </w:pPr>
            <w:r w:rsidRPr="00394C65">
              <w:rPr>
                <w:sz w:val="20"/>
                <w:szCs w:val="20"/>
              </w:rPr>
              <w:t>7% pour une longueur maximale d’un tenant de 5 m ;</w:t>
            </w:r>
          </w:p>
          <w:p w14:paraId="7EB1F94F" w14:textId="3396D51E" w:rsidR="006137B7" w:rsidRPr="00394C65" w:rsidRDefault="006137B7" w:rsidP="00835AB2">
            <w:pPr>
              <w:numPr>
                <w:ilvl w:val="0"/>
                <w:numId w:val="26"/>
              </w:numPr>
              <w:jc w:val="both"/>
              <w:rPr>
                <w:sz w:val="20"/>
                <w:szCs w:val="20"/>
              </w:rPr>
            </w:pPr>
            <w:r w:rsidRPr="00394C65">
              <w:rPr>
                <w:sz w:val="20"/>
                <w:szCs w:val="20"/>
              </w:rPr>
              <w:t>8% pour une longueur maximale d’un tenant de 2 m</w:t>
            </w:r>
            <w:r w:rsidR="00E525CA" w:rsidRPr="00394C65">
              <w:rPr>
                <w:sz w:val="20"/>
                <w:szCs w:val="20"/>
              </w:rPr>
              <w:t>.</w:t>
            </w:r>
          </w:p>
          <w:p w14:paraId="0CB64B01" w14:textId="77777777" w:rsidR="006137B7" w:rsidRPr="00394C65" w:rsidRDefault="006137B7" w:rsidP="00835AB2">
            <w:pPr>
              <w:jc w:val="both"/>
              <w:rPr>
                <w:sz w:val="20"/>
                <w:szCs w:val="20"/>
              </w:rPr>
            </w:pPr>
            <w:r w:rsidRPr="00394C65">
              <w:rPr>
                <w:sz w:val="20"/>
                <w:szCs w:val="20"/>
              </w:rPr>
              <w:t>L’inclinaison transversale de la rampe ne peut être supérieure à 2%.</w:t>
            </w:r>
          </w:p>
          <w:p w14:paraId="48683037" w14:textId="77777777" w:rsidR="006137B7" w:rsidRPr="00394C65" w:rsidRDefault="006137B7" w:rsidP="00835AB2">
            <w:pPr>
              <w:jc w:val="both"/>
              <w:rPr>
                <w:sz w:val="20"/>
                <w:szCs w:val="20"/>
              </w:rPr>
            </w:pPr>
          </w:p>
          <w:p w14:paraId="600E996D" w14:textId="2BFFCE04" w:rsidR="006137B7" w:rsidRPr="00394C65" w:rsidRDefault="006137B7" w:rsidP="00835AB2">
            <w:pPr>
              <w:jc w:val="both"/>
              <w:rPr>
                <w:sz w:val="20"/>
                <w:szCs w:val="20"/>
              </w:rPr>
            </w:pPr>
            <w:r w:rsidRPr="00394C65">
              <w:rPr>
                <w:sz w:val="20"/>
                <w:szCs w:val="20"/>
              </w:rPr>
              <w:t xml:space="preserve">§ 2.  Un palier horizontal qui comporte une aire de rotation d’un diamètre minimal de 1,50 m est aménagé aux deux extrémités de la rampe ainsi qu’après chaque </w:t>
            </w:r>
            <w:r w:rsidR="0030008B" w:rsidRPr="00394C65">
              <w:rPr>
                <w:sz w:val="20"/>
                <w:szCs w:val="20"/>
              </w:rPr>
              <w:t xml:space="preserve">rampe </w:t>
            </w:r>
            <w:r w:rsidRPr="00394C65">
              <w:rPr>
                <w:sz w:val="20"/>
                <w:szCs w:val="20"/>
              </w:rPr>
              <w:t>visée au § 1</w:t>
            </w:r>
            <w:r w:rsidRPr="00394C65">
              <w:rPr>
                <w:sz w:val="20"/>
                <w:szCs w:val="20"/>
                <w:vertAlign w:val="superscript"/>
              </w:rPr>
              <w:t>er</w:t>
            </w:r>
            <w:r w:rsidRPr="00394C65">
              <w:rPr>
                <w:sz w:val="20"/>
                <w:szCs w:val="20"/>
              </w:rPr>
              <w:t xml:space="preserve"> lorsque la rampe a une inclinaison égale ou supérieure à 3%.</w:t>
            </w:r>
          </w:p>
          <w:p w14:paraId="2B20D692" w14:textId="77777777" w:rsidR="006137B7" w:rsidRPr="00394C65" w:rsidRDefault="006137B7" w:rsidP="00835AB2">
            <w:pPr>
              <w:jc w:val="both"/>
              <w:rPr>
                <w:sz w:val="20"/>
                <w:szCs w:val="20"/>
              </w:rPr>
            </w:pPr>
          </w:p>
          <w:p w14:paraId="25D46F10" w14:textId="03B48889" w:rsidR="006137B7" w:rsidRPr="00394C65" w:rsidRDefault="006137B7" w:rsidP="00835AB2">
            <w:pPr>
              <w:jc w:val="both"/>
              <w:rPr>
                <w:sz w:val="20"/>
                <w:szCs w:val="20"/>
              </w:rPr>
            </w:pPr>
            <w:r w:rsidRPr="00394C65">
              <w:rPr>
                <w:sz w:val="20"/>
                <w:szCs w:val="20"/>
              </w:rPr>
              <w:t xml:space="preserve">Du </w:t>
            </w:r>
            <w:proofErr w:type="spellStart"/>
            <w:r w:rsidRPr="00394C65">
              <w:rPr>
                <w:sz w:val="20"/>
                <w:szCs w:val="20"/>
              </w:rPr>
              <w:t>coté</w:t>
            </w:r>
            <w:proofErr w:type="spellEnd"/>
            <w:r w:rsidRPr="00394C65">
              <w:rPr>
                <w:sz w:val="20"/>
                <w:szCs w:val="20"/>
              </w:rPr>
              <w:t xml:space="preserve"> du vide</w:t>
            </w:r>
            <w:r w:rsidR="00B437E5" w:rsidRPr="00394C65">
              <w:rPr>
                <w:sz w:val="20"/>
                <w:szCs w:val="20"/>
              </w:rPr>
              <w:t>,</w:t>
            </w:r>
            <w:r w:rsidRPr="00394C65">
              <w:rPr>
                <w:sz w:val="20"/>
                <w:szCs w:val="20"/>
              </w:rPr>
              <w:t xml:space="preserve"> les bords latéraux libres de la rampe, des paliers et aires de repos sont garnis d’une bordure d’une hauteur minimum de 0,05</w:t>
            </w:r>
            <w:r w:rsidR="00650100" w:rsidRPr="00394C65">
              <w:rPr>
                <w:sz w:val="20"/>
                <w:szCs w:val="20"/>
              </w:rPr>
              <w:t xml:space="preserve"> </w:t>
            </w:r>
            <w:r w:rsidRPr="00394C65">
              <w:rPr>
                <w:sz w:val="20"/>
                <w:szCs w:val="20"/>
              </w:rPr>
              <w:t>m.</w:t>
            </w:r>
          </w:p>
          <w:p w14:paraId="61B5925A" w14:textId="77777777" w:rsidR="006137B7" w:rsidRPr="00394C65" w:rsidRDefault="006137B7" w:rsidP="00835AB2">
            <w:pPr>
              <w:jc w:val="both"/>
              <w:rPr>
                <w:sz w:val="20"/>
                <w:szCs w:val="20"/>
              </w:rPr>
            </w:pPr>
          </w:p>
          <w:p w14:paraId="0DBC62DC" w14:textId="4AE3DCF4" w:rsidR="006137B7" w:rsidRPr="00394C65" w:rsidRDefault="006137B7" w:rsidP="00835AB2">
            <w:pPr>
              <w:jc w:val="both"/>
              <w:rPr>
                <w:sz w:val="20"/>
                <w:szCs w:val="20"/>
              </w:rPr>
            </w:pPr>
            <w:r w:rsidRPr="00394C65">
              <w:rPr>
                <w:sz w:val="20"/>
                <w:szCs w:val="20"/>
              </w:rPr>
              <w:t xml:space="preserve">§ 3. La rampe et les paliers sont équipés des deux côtés d’une double main-courante </w:t>
            </w:r>
            <w:r w:rsidR="00E87820" w:rsidRPr="00394C65">
              <w:rPr>
                <w:sz w:val="20"/>
                <w:szCs w:val="20"/>
              </w:rPr>
              <w:t xml:space="preserve">respectant les </w:t>
            </w:r>
            <w:r w:rsidRPr="00394C65">
              <w:rPr>
                <w:sz w:val="20"/>
                <w:szCs w:val="20"/>
              </w:rPr>
              <w:t>conditions suivantes :</w:t>
            </w:r>
          </w:p>
          <w:p w14:paraId="0F295570" w14:textId="77777777" w:rsidR="006137B7" w:rsidRPr="00394C65"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les mains-courantes sont </w:t>
            </w:r>
            <w:proofErr w:type="spellStart"/>
            <w:r w:rsidRPr="00394C65">
              <w:rPr>
                <w:rFonts w:ascii="Times New Roman" w:hAnsi="Times New Roman" w:cs="Times New Roman"/>
                <w:sz w:val="20"/>
                <w:szCs w:val="20"/>
              </w:rPr>
              <w:t>continues</w:t>
            </w:r>
            <w:proofErr w:type="spellEnd"/>
            <w:r w:rsidRPr="00394C65">
              <w:rPr>
                <w:rFonts w:ascii="Times New Roman" w:hAnsi="Times New Roman" w:cs="Times New Roman"/>
                <w:sz w:val="20"/>
                <w:szCs w:val="20"/>
              </w:rPr>
              <w:t xml:space="preserve"> et se prolongent de 0,40 m au-delà des paliers à condition de ne pas constituer un danger ;</w:t>
            </w:r>
          </w:p>
          <w:p w14:paraId="3FBF500D" w14:textId="77777777" w:rsidR="006137B7" w:rsidRPr="00394C65"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leur accès n’est entravé par aucun obstacle ;</w:t>
            </w:r>
          </w:p>
          <w:p w14:paraId="296EDC90" w14:textId="77777777" w:rsidR="006137B7" w:rsidRPr="00394C65"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la distance qui sépare les mains-courantes assure un passage libre d’obstacle d’une largeur minimale de 1,20 m ; </w:t>
            </w:r>
          </w:p>
          <w:p w14:paraId="1D1051FD" w14:textId="77777777" w:rsidR="006137B7" w:rsidRPr="00394C65"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les lisses sont fixées à une hauteur de 0,75 m et 0,90 m respectivement par rapport à la rampe et aux paliers.</w:t>
            </w:r>
          </w:p>
          <w:p w14:paraId="68945042" w14:textId="75C96EAA" w:rsidR="006137B7" w:rsidRPr="00394C65" w:rsidRDefault="006137B7" w:rsidP="00835AB2">
            <w:pPr>
              <w:jc w:val="both"/>
              <w:rPr>
                <w:sz w:val="20"/>
                <w:szCs w:val="20"/>
              </w:rPr>
            </w:pPr>
            <w:r w:rsidRPr="00394C65">
              <w:rPr>
                <w:sz w:val="20"/>
                <w:szCs w:val="20"/>
              </w:rPr>
              <w:t>§ 4. Le croquis n°1 en annexe illustre le présent article.</w:t>
            </w:r>
          </w:p>
        </w:tc>
        <w:tc>
          <w:tcPr>
            <w:tcW w:w="4394" w:type="dxa"/>
          </w:tcPr>
          <w:p w14:paraId="1CD7E652" w14:textId="77777777" w:rsidR="006137B7" w:rsidRPr="00394C65" w:rsidRDefault="006137B7" w:rsidP="00835AB2">
            <w:pPr>
              <w:jc w:val="both"/>
              <w:rPr>
                <w:sz w:val="20"/>
                <w:szCs w:val="20"/>
              </w:rPr>
            </w:pPr>
          </w:p>
        </w:tc>
      </w:tr>
      <w:tr w:rsidR="00394C65" w:rsidRPr="00394C65" w14:paraId="584C009C" w14:textId="77777777" w:rsidTr="00650100">
        <w:tc>
          <w:tcPr>
            <w:tcW w:w="9776" w:type="dxa"/>
          </w:tcPr>
          <w:p w14:paraId="1D692362" w14:textId="410FA431" w:rsidR="006137B7" w:rsidRPr="00394C65" w:rsidRDefault="006137B7" w:rsidP="00835AB2">
            <w:pPr>
              <w:jc w:val="both"/>
              <w:rPr>
                <w:b/>
                <w:sz w:val="20"/>
                <w:szCs w:val="20"/>
              </w:rPr>
            </w:pPr>
            <w:r w:rsidRPr="00394C65">
              <w:rPr>
                <w:b/>
                <w:sz w:val="20"/>
                <w:szCs w:val="20"/>
              </w:rPr>
              <w:t xml:space="preserve">Article </w:t>
            </w:r>
            <w:r w:rsidR="00C84572" w:rsidRPr="00394C65">
              <w:rPr>
                <w:b/>
                <w:sz w:val="20"/>
                <w:szCs w:val="20"/>
              </w:rPr>
              <w:t xml:space="preserve">6 </w:t>
            </w:r>
            <w:r w:rsidRPr="00394C65">
              <w:rPr>
                <w:b/>
                <w:sz w:val="20"/>
                <w:szCs w:val="20"/>
              </w:rPr>
              <w:t>– Ascenseur</w:t>
            </w:r>
          </w:p>
        </w:tc>
        <w:tc>
          <w:tcPr>
            <w:tcW w:w="4394" w:type="dxa"/>
          </w:tcPr>
          <w:p w14:paraId="657F1B6D" w14:textId="77777777" w:rsidR="006137B7" w:rsidRPr="00394C65" w:rsidRDefault="006137B7" w:rsidP="00835AB2">
            <w:pPr>
              <w:jc w:val="both"/>
              <w:rPr>
                <w:sz w:val="20"/>
                <w:szCs w:val="20"/>
              </w:rPr>
            </w:pPr>
          </w:p>
        </w:tc>
      </w:tr>
      <w:tr w:rsidR="00394C65" w:rsidRPr="00394C65" w14:paraId="3DB321DE" w14:textId="77777777" w:rsidTr="00650100">
        <w:tc>
          <w:tcPr>
            <w:tcW w:w="9776" w:type="dxa"/>
          </w:tcPr>
          <w:p w14:paraId="47E201A4" w14:textId="2D0AAA37" w:rsidR="006137B7" w:rsidRPr="00394C65" w:rsidRDefault="006137B7" w:rsidP="00835AB2">
            <w:pPr>
              <w:jc w:val="both"/>
              <w:rPr>
                <w:sz w:val="20"/>
                <w:szCs w:val="20"/>
              </w:rPr>
            </w:pPr>
            <w:r w:rsidRPr="00394C65">
              <w:rPr>
                <w:sz w:val="20"/>
                <w:szCs w:val="20"/>
              </w:rPr>
              <w:t>§ 1</w:t>
            </w:r>
            <w:r w:rsidR="00AA5431" w:rsidRPr="00394C65">
              <w:rPr>
                <w:sz w:val="20"/>
                <w:szCs w:val="20"/>
                <w:vertAlign w:val="superscript"/>
              </w:rPr>
              <w:t>er</w:t>
            </w:r>
            <w:r w:rsidRPr="00394C65">
              <w:rPr>
                <w:sz w:val="20"/>
                <w:szCs w:val="20"/>
              </w:rPr>
              <w:t>. L’ascenseur et les paliers qui desservent la cabine respectent les dimensions suivantes :</w:t>
            </w:r>
          </w:p>
          <w:p w14:paraId="4465C9D1" w14:textId="77777777" w:rsidR="006137B7" w:rsidRPr="00394C65" w:rsidRDefault="006137B7" w:rsidP="00835AB2">
            <w:pPr>
              <w:numPr>
                <w:ilvl w:val="0"/>
                <w:numId w:val="28"/>
              </w:numPr>
              <w:jc w:val="both"/>
              <w:rPr>
                <w:sz w:val="20"/>
                <w:szCs w:val="20"/>
              </w:rPr>
            </w:pPr>
            <w:r w:rsidRPr="00394C65">
              <w:rPr>
                <w:sz w:val="20"/>
                <w:szCs w:val="20"/>
              </w:rPr>
              <w:t>le palier comporte une aire de rotation d’un diamètre minimal de 1,50 m ;</w:t>
            </w:r>
          </w:p>
          <w:p w14:paraId="0FFC3D95" w14:textId="77777777" w:rsidR="006137B7" w:rsidRPr="00394C65" w:rsidRDefault="006137B7" w:rsidP="00835AB2">
            <w:pPr>
              <w:numPr>
                <w:ilvl w:val="0"/>
                <w:numId w:val="28"/>
              </w:numPr>
              <w:jc w:val="both"/>
              <w:rPr>
                <w:sz w:val="20"/>
                <w:szCs w:val="20"/>
              </w:rPr>
            </w:pPr>
            <w:r w:rsidRPr="00394C65">
              <w:rPr>
                <w:sz w:val="20"/>
                <w:szCs w:val="20"/>
              </w:rPr>
              <w:t>les portes palières et de cabine assurent un passage libre d’obstacle de 0,90 m ;</w:t>
            </w:r>
          </w:p>
          <w:p w14:paraId="5AD32AC2" w14:textId="101AC7F7" w:rsidR="006137B7" w:rsidRPr="00394C65" w:rsidRDefault="006137B7" w:rsidP="00835AB2">
            <w:pPr>
              <w:numPr>
                <w:ilvl w:val="0"/>
                <w:numId w:val="28"/>
              </w:numPr>
              <w:jc w:val="both"/>
              <w:rPr>
                <w:sz w:val="20"/>
                <w:szCs w:val="20"/>
              </w:rPr>
            </w:pPr>
            <w:r w:rsidRPr="00394C65">
              <w:rPr>
                <w:sz w:val="20"/>
                <w:szCs w:val="20"/>
              </w:rPr>
              <w:t>la cabine a une largeur et une profondeur intérieures minimales de 1,10 m et 1,40 m respectivement, libres d’obstacle sur une hauteur minimale de 0,80 m</w:t>
            </w:r>
            <w:r w:rsidR="00AA5431" w:rsidRPr="00394C65">
              <w:rPr>
                <w:sz w:val="20"/>
                <w:szCs w:val="20"/>
              </w:rPr>
              <w:t>.</w:t>
            </w:r>
          </w:p>
          <w:p w14:paraId="721C4611" w14:textId="77777777" w:rsidR="006137B7" w:rsidRPr="00394C65" w:rsidRDefault="006137B7" w:rsidP="00835AB2">
            <w:pPr>
              <w:jc w:val="both"/>
              <w:rPr>
                <w:sz w:val="20"/>
                <w:szCs w:val="20"/>
              </w:rPr>
            </w:pPr>
          </w:p>
          <w:p w14:paraId="41B8E21A" w14:textId="0F8F367D" w:rsidR="006137B7" w:rsidRPr="00394C65" w:rsidRDefault="006137B7" w:rsidP="00835AB2">
            <w:pPr>
              <w:jc w:val="both"/>
              <w:rPr>
                <w:sz w:val="20"/>
                <w:szCs w:val="20"/>
              </w:rPr>
            </w:pPr>
            <w:r w:rsidRPr="00394C65">
              <w:rPr>
                <w:sz w:val="20"/>
                <w:szCs w:val="20"/>
              </w:rPr>
              <w:t>§ 2. La cabine intérieure doit être équipée</w:t>
            </w:r>
          </w:p>
          <w:p w14:paraId="4E09CFD7" w14:textId="77777777" w:rsidR="006137B7" w:rsidRPr="00394C65" w:rsidRDefault="006137B7" w:rsidP="0030008B">
            <w:pPr>
              <w:pStyle w:val="ListParagraph"/>
              <w:numPr>
                <w:ilvl w:val="0"/>
                <w:numId w:val="29"/>
              </w:numPr>
              <w:spacing w:after="0" w:line="240" w:lineRule="auto"/>
              <w:jc w:val="both"/>
              <w:rPr>
                <w:sz w:val="20"/>
                <w:szCs w:val="20"/>
              </w:rPr>
            </w:pPr>
            <w:r w:rsidRPr="00394C65">
              <w:rPr>
                <w:sz w:val="20"/>
                <w:szCs w:val="20"/>
              </w:rPr>
              <w:t>d’une main-courante sur toutes les parois non équipées d’une porte, placée à 90 cm du sol et à 3,5 cm au minimum de la paroi éventuelle.</w:t>
            </w:r>
          </w:p>
          <w:p w14:paraId="733B0346" w14:textId="77777777" w:rsidR="00C84572" w:rsidRPr="00394C65" w:rsidRDefault="00C84572" w:rsidP="00835AB2">
            <w:pPr>
              <w:jc w:val="both"/>
              <w:rPr>
                <w:sz w:val="20"/>
                <w:szCs w:val="20"/>
              </w:rPr>
            </w:pPr>
          </w:p>
          <w:p w14:paraId="69773B47" w14:textId="3FAEBA07" w:rsidR="006137B7" w:rsidRPr="00394C65" w:rsidRDefault="006137B7" w:rsidP="00835AB2">
            <w:pPr>
              <w:jc w:val="both"/>
              <w:rPr>
                <w:sz w:val="20"/>
                <w:szCs w:val="20"/>
              </w:rPr>
            </w:pPr>
            <w:r w:rsidRPr="00394C65">
              <w:rPr>
                <w:sz w:val="20"/>
                <w:szCs w:val="20"/>
              </w:rPr>
              <w:t xml:space="preserve">§ </w:t>
            </w:r>
            <w:r w:rsidR="00D7766A" w:rsidRPr="00394C65">
              <w:rPr>
                <w:sz w:val="20"/>
                <w:szCs w:val="20"/>
              </w:rPr>
              <w:t>3</w:t>
            </w:r>
            <w:r w:rsidRPr="00394C65">
              <w:rPr>
                <w:sz w:val="20"/>
                <w:szCs w:val="20"/>
              </w:rPr>
              <w:t>. Lorsque l’installation d’un ascenseur répondant aux conditions visées au § 1</w:t>
            </w:r>
            <w:r w:rsidR="00D7766A" w:rsidRPr="00394C65">
              <w:rPr>
                <w:sz w:val="20"/>
                <w:szCs w:val="20"/>
                <w:vertAlign w:val="superscript"/>
              </w:rPr>
              <w:t>er</w:t>
            </w:r>
            <w:r w:rsidR="00D7766A" w:rsidRPr="00394C65">
              <w:rPr>
                <w:sz w:val="20"/>
                <w:szCs w:val="20"/>
              </w:rPr>
              <w:t xml:space="preserve"> </w:t>
            </w:r>
            <w:r w:rsidRPr="00394C65">
              <w:rPr>
                <w:sz w:val="20"/>
                <w:szCs w:val="20"/>
              </w:rPr>
              <w:t>n’est pas possible dans une construction existante pour des raisons techniques, l’installation d’un élévateur à plateforme sans gaine fermée est admise pour franchir un différence de niveau d’une hauteur maximale de 1,80 m.</w:t>
            </w:r>
          </w:p>
          <w:p w14:paraId="0E0D0C12" w14:textId="77777777" w:rsidR="00D7766A" w:rsidRPr="00394C65" w:rsidRDefault="00D7766A" w:rsidP="00835AB2">
            <w:pPr>
              <w:jc w:val="both"/>
              <w:rPr>
                <w:sz w:val="20"/>
                <w:szCs w:val="20"/>
              </w:rPr>
            </w:pPr>
          </w:p>
          <w:p w14:paraId="1E29FA45" w14:textId="6C9E4013" w:rsidR="006137B7" w:rsidRPr="00394C65" w:rsidRDefault="006137B7" w:rsidP="00835AB2">
            <w:pPr>
              <w:jc w:val="both"/>
              <w:rPr>
                <w:sz w:val="20"/>
                <w:szCs w:val="20"/>
              </w:rPr>
            </w:pPr>
            <w:r w:rsidRPr="00394C65">
              <w:rPr>
                <w:sz w:val="20"/>
                <w:szCs w:val="20"/>
              </w:rPr>
              <w:t>Le franchissement d’une différence de niveau d’une hauteur supérieure est admis si l’élévateur comporte une gaine fermée.</w:t>
            </w:r>
          </w:p>
          <w:p w14:paraId="57F218F8" w14:textId="77777777" w:rsidR="00D7766A" w:rsidRPr="00394C65" w:rsidRDefault="00D7766A" w:rsidP="00835AB2">
            <w:pPr>
              <w:jc w:val="both"/>
              <w:rPr>
                <w:sz w:val="20"/>
                <w:szCs w:val="20"/>
              </w:rPr>
            </w:pPr>
          </w:p>
          <w:p w14:paraId="15603A2C" w14:textId="44BCDA0D" w:rsidR="006137B7" w:rsidRPr="00394C65" w:rsidRDefault="006137B7" w:rsidP="00835AB2">
            <w:pPr>
              <w:jc w:val="both"/>
              <w:rPr>
                <w:sz w:val="20"/>
                <w:szCs w:val="20"/>
              </w:rPr>
            </w:pPr>
            <w:r w:rsidRPr="00394C65">
              <w:rPr>
                <w:sz w:val="20"/>
                <w:szCs w:val="20"/>
              </w:rPr>
              <w:t>L’élévateur à plateforme respecte les dimensions visées au § 1</w:t>
            </w:r>
            <w:r w:rsidR="00D7766A" w:rsidRPr="00394C65">
              <w:rPr>
                <w:sz w:val="20"/>
                <w:szCs w:val="20"/>
                <w:vertAlign w:val="superscript"/>
              </w:rPr>
              <w:t>er</w:t>
            </w:r>
            <w:r w:rsidR="00D7766A" w:rsidRPr="00394C65">
              <w:rPr>
                <w:sz w:val="20"/>
                <w:szCs w:val="20"/>
              </w:rPr>
              <w:t>, 3°.</w:t>
            </w:r>
          </w:p>
        </w:tc>
        <w:tc>
          <w:tcPr>
            <w:tcW w:w="4394" w:type="dxa"/>
          </w:tcPr>
          <w:p w14:paraId="638B84B3" w14:textId="64D0C745" w:rsidR="006137B7" w:rsidRPr="00394C65" w:rsidRDefault="009071E2" w:rsidP="00835AB2">
            <w:pPr>
              <w:jc w:val="both"/>
              <w:rPr>
                <w:sz w:val="20"/>
                <w:szCs w:val="20"/>
              </w:rPr>
            </w:pPr>
            <w:r w:rsidRPr="00394C65">
              <w:rPr>
                <w:sz w:val="20"/>
                <w:szCs w:val="20"/>
              </w:rPr>
              <w:lastRenderedPageBreak/>
              <w:t xml:space="preserve">Remarque : </w:t>
            </w:r>
            <w:r w:rsidR="006137B7" w:rsidRPr="00394C65">
              <w:rPr>
                <w:sz w:val="20"/>
                <w:szCs w:val="20"/>
              </w:rPr>
              <w:t xml:space="preserve">Le guide d’aide à </w:t>
            </w:r>
            <w:r w:rsidRPr="00394C65">
              <w:rPr>
                <w:sz w:val="20"/>
                <w:szCs w:val="20"/>
              </w:rPr>
              <w:t xml:space="preserve">la conception </w:t>
            </w:r>
            <w:r w:rsidR="006137B7" w:rsidRPr="00394C65">
              <w:rPr>
                <w:sz w:val="20"/>
                <w:szCs w:val="20"/>
              </w:rPr>
              <w:t xml:space="preserve">d’un bâtiment accessible </w:t>
            </w:r>
            <w:r w:rsidRPr="00394C65">
              <w:rPr>
                <w:sz w:val="20"/>
                <w:szCs w:val="20"/>
              </w:rPr>
              <w:t xml:space="preserve">établi par les associations du CAWAB définit </w:t>
            </w:r>
            <w:r w:rsidR="006137B7" w:rsidRPr="00394C65">
              <w:rPr>
                <w:sz w:val="20"/>
                <w:szCs w:val="20"/>
              </w:rPr>
              <w:t xml:space="preserve">les caractéristiques auxquelles devrait répondre un ascenseur accessible aux </w:t>
            </w:r>
            <w:r w:rsidRPr="00394C65">
              <w:rPr>
                <w:sz w:val="20"/>
                <w:szCs w:val="20"/>
              </w:rPr>
              <w:t>personnes à mobilité réduite</w:t>
            </w:r>
            <w:r w:rsidR="00022D0D" w:rsidRPr="00394C65">
              <w:rPr>
                <w:sz w:val="20"/>
                <w:szCs w:val="20"/>
              </w:rPr>
              <w:t>. Il s’agit notamment des caractéristiques suivantes</w:t>
            </w:r>
            <w:r w:rsidRPr="00394C65">
              <w:rPr>
                <w:sz w:val="20"/>
                <w:szCs w:val="20"/>
              </w:rPr>
              <w:t xml:space="preserve"> </w:t>
            </w:r>
            <w:r w:rsidR="006137B7" w:rsidRPr="00394C65">
              <w:rPr>
                <w:sz w:val="20"/>
                <w:szCs w:val="20"/>
              </w:rPr>
              <w:t xml:space="preserve">:    </w:t>
            </w:r>
          </w:p>
          <w:p w14:paraId="0D1335D3"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t>tout bouton à minimum 50 cm d’un angle rentrant</w:t>
            </w:r>
          </w:p>
          <w:p w14:paraId="0C22A3F0"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t xml:space="preserve">à partir de 11 étages : un siège rabattable ; </w:t>
            </w:r>
          </w:p>
          <w:p w14:paraId="27F7F11A"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t>système d’appel d’urgence avec message visuel ;</w:t>
            </w:r>
          </w:p>
          <w:p w14:paraId="6DE92DC9"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t>synthèse vocal ;</w:t>
            </w:r>
          </w:p>
          <w:p w14:paraId="258E72D4"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t>traduction en braille ;</w:t>
            </w:r>
          </w:p>
          <w:p w14:paraId="64D7FDC3"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t>miroir face à la porte ;</w:t>
            </w:r>
          </w:p>
          <w:p w14:paraId="4D2F1E5F" w14:textId="77777777" w:rsidR="006137B7" w:rsidRPr="00394C65"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394C65">
              <w:rPr>
                <w:rFonts w:ascii="Times New Roman" w:hAnsi="Times New Roman" w:cs="Times New Roman"/>
                <w:sz w:val="20"/>
                <w:szCs w:val="20"/>
              </w:rPr>
              <w:lastRenderedPageBreak/>
              <w:t xml:space="preserve">boutons conformes. </w:t>
            </w:r>
          </w:p>
          <w:p w14:paraId="0107A111" w14:textId="77777777" w:rsidR="00022D0D" w:rsidRPr="00394C65" w:rsidRDefault="00022D0D" w:rsidP="00835AB2">
            <w:pPr>
              <w:jc w:val="both"/>
              <w:rPr>
                <w:sz w:val="20"/>
                <w:szCs w:val="20"/>
              </w:rPr>
            </w:pPr>
          </w:p>
          <w:p w14:paraId="23ACF802" w14:textId="1B720A73" w:rsidR="006137B7" w:rsidRPr="00394C65" w:rsidRDefault="009071E2" w:rsidP="00835AB2">
            <w:pPr>
              <w:jc w:val="both"/>
              <w:rPr>
                <w:sz w:val="20"/>
                <w:szCs w:val="20"/>
              </w:rPr>
            </w:pPr>
            <w:r w:rsidRPr="00394C65">
              <w:rPr>
                <w:sz w:val="20"/>
                <w:szCs w:val="20"/>
              </w:rPr>
              <w:t xml:space="preserve">Il est recommandé au demandeur de consulter ce guide consultable à partir du lien suivant : </w:t>
            </w:r>
            <w:hyperlink r:id="rId8" w:history="1">
              <w:r w:rsidRPr="00394C65">
                <w:rPr>
                  <w:rStyle w:val="Hyperlink"/>
                  <w:color w:val="auto"/>
                  <w:sz w:val="20"/>
                  <w:szCs w:val="20"/>
                </w:rPr>
                <w:t>https://cawab.be/Guide-d-aide-a-la-conception-d-un-batiment-accessible.html</w:t>
              </w:r>
            </w:hyperlink>
            <w:r w:rsidRPr="00394C65">
              <w:rPr>
                <w:sz w:val="20"/>
                <w:szCs w:val="20"/>
              </w:rPr>
              <w:t xml:space="preserve"> </w:t>
            </w:r>
          </w:p>
        </w:tc>
      </w:tr>
      <w:tr w:rsidR="00394C65" w:rsidRPr="00394C65" w14:paraId="24CF4415" w14:textId="77777777" w:rsidTr="00650100">
        <w:tc>
          <w:tcPr>
            <w:tcW w:w="9776" w:type="dxa"/>
          </w:tcPr>
          <w:p w14:paraId="01E5BEC7" w14:textId="4BBD9685" w:rsidR="006137B7" w:rsidRPr="00394C65" w:rsidRDefault="006137B7" w:rsidP="00835AB2">
            <w:pPr>
              <w:jc w:val="both"/>
              <w:rPr>
                <w:b/>
                <w:sz w:val="20"/>
                <w:szCs w:val="20"/>
              </w:rPr>
            </w:pPr>
            <w:r w:rsidRPr="00394C65">
              <w:rPr>
                <w:b/>
                <w:sz w:val="20"/>
                <w:szCs w:val="20"/>
              </w:rPr>
              <w:lastRenderedPageBreak/>
              <w:t xml:space="preserve">Article </w:t>
            </w:r>
            <w:r w:rsidR="00C84572" w:rsidRPr="00394C65">
              <w:rPr>
                <w:b/>
                <w:sz w:val="20"/>
                <w:szCs w:val="20"/>
              </w:rPr>
              <w:t xml:space="preserve">7 </w:t>
            </w:r>
            <w:r w:rsidRPr="00394C65">
              <w:rPr>
                <w:b/>
                <w:sz w:val="20"/>
                <w:szCs w:val="20"/>
              </w:rPr>
              <w:t>– Escalier</w:t>
            </w:r>
          </w:p>
        </w:tc>
        <w:tc>
          <w:tcPr>
            <w:tcW w:w="4394" w:type="dxa"/>
          </w:tcPr>
          <w:p w14:paraId="65D483C0" w14:textId="77777777" w:rsidR="006137B7" w:rsidRPr="00394C65" w:rsidRDefault="006137B7" w:rsidP="00835AB2">
            <w:pPr>
              <w:jc w:val="both"/>
              <w:rPr>
                <w:sz w:val="20"/>
                <w:szCs w:val="20"/>
              </w:rPr>
            </w:pPr>
          </w:p>
        </w:tc>
      </w:tr>
      <w:tr w:rsidR="00394C65" w:rsidRPr="00394C65" w14:paraId="0D0F28CB" w14:textId="77777777" w:rsidTr="00650100">
        <w:tc>
          <w:tcPr>
            <w:tcW w:w="9776" w:type="dxa"/>
          </w:tcPr>
          <w:p w14:paraId="676E620F" w14:textId="07F85BD9" w:rsidR="00870BEB" w:rsidRPr="00394C65" w:rsidRDefault="006137B7" w:rsidP="00835AB2">
            <w:pPr>
              <w:jc w:val="both"/>
              <w:rPr>
                <w:sz w:val="20"/>
                <w:szCs w:val="20"/>
              </w:rPr>
            </w:pPr>
            <w:r w:rsidRPr="00394C65">
              <w:rPr>
                <w:sz w:val="20"/>
                <w:szCs w:val="20"/>
              </w:rPr>
              <w:t>§</w:t>
            </w:r>
            <w:r w:rsidR="00C84572" w:rsidRPr="00394C65">
              <w:rPr>
                <w:sz w:val="20"/>
                <w:szCs w:val="20"/>
              </w:rPr>
              <w:t xml:space="preserve"> </w:t>
            </w:r>
            <w:r w:rsidRPr="00394C65">
              <w:rPr>
                <w:sz w:val="20"/>
                <w:szCs w:val="20"/>
              </w:rPr>
              <w:t>1</w:t>
            </w:r>
            <w:r w:rsidRPr="00394C65">
              <w:rPr>
                <w:sz w:val="20"/>
                <w:szCs w:val="20"/>
                <w:vertAlign w:val="superscript"/>
              </w:rPr>
              <w:t>er</w:t>
            </w:r>
            <w:r w:rsidRPr="00394C65">
              <w:rPr>
                <w:sz w:val="20"/>
                <w:szCs w:val="20"/>
              </w:rPr>
              <w:t xml:space="preserve">. </w:t>
            </w:r>
            <w:r w:rsidR="00022D0D" w:rsidRPr="00394C65">
              <w:rPr>
                <w:sz w:val="20"/>
                <w:szCs w:val="20"/>
              </w:rPr>
              <w:t>L</w:t>
            </w:r>
            <w:r w:rsidR="00E87820" w:rsidRPr="00394C65">
              <w:rPr>
                <w:sz w:val="20"/>
                <w:szCs w:val="20"/>
              </w:rPr>
              <w:t>’</w:t>
            </w:r>
            <w:r w:rsidR="00870BEB" w:rsidRPr="00394C65">
              <w:rPr>
                <w:sz w:val="20"/>
                <w:szCs w:val="20"/>
              </w:rPr>
              <w:t xml:space="preserve">escalier </w:t>
            </w:r>
            <w:r w:rsidR="00E87820" w:rsidRPr="00394C65">
              <w:rPr>
                <w:sz w:val="20"/>
                <w:szCs w:val="20"/>
              </w:rPr>
              <w:t>respecte</w:t>
            </w:r>
            <w:r w:rsidR="00870BEB" w:rsidRPr="00394C65">
              <w:rPr>
                <w:sz w:val="20"/>
                <w:szCs w:val="20"/>
              </w:rPr>
              <w:t xml:space="preserve"> </w:t>
            </w:r>
            <w:r w:rsidR="00E87820" w:rsidRPr="00394C65">
              <w:rPr>
                <w:sz w:val="20"/>
                <w:szCs w:val="20"/>
              </w:rPr>
              <w:t xml:space="preserve">les </w:t>
            </w:r>
            <w:r w:rsidR="00870BEB" w:rsidRPr="00394C65">
              <w:rPr>
                <w:sz w:val="20"/>
                <w:szCs w:val="20"/>
              </w:rPr>
              <w:t xml:space="preserve">conditions suivantes : </w:t>
            </w:r>
          </w:p>
          <w:p w14:paraId="10B4CE91" w14:textId="355498BB" w:rsidR="00870BEB" w:rsidRPr="00394C65" w:rsidRDefault="00870BEB" w:rsidP="00835AB2">
            <w:pPr>
              <w:pStyle w:val="ListParagraph"/>
              <w:numPr>
                <w:ilvl w:val="0"/>
                <w:numId w:val="30"/>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il dispose d’une largeur minimale de 1,2 m ;</w:t>
            </w:r>
          </w:p>
          <w:p w14:paraId="0365407C" w14:textId="77777777" w:rsidR="00870BEB" w:rsidRPr="00394C65" w:rsidRDefault="00870BEB" w:rsidP="00835AB2">
            <w:pPr>
              <w:pStyle w:val="ListParagraph"/>
              <w:numPr>
                <w:ilvl w:val="0"/>
                <w:numId w:val="30"/>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chaque volée ne peut dépasser 17 marches ;</w:t>
            </w:r>
          </w:p>
          <w:p w14:paraId="5E67842D" w14:textId="77777777" w:rsidR="00870BEB" w:rsidRPr="00394C65" w:rsidRDefault="00870BEB" w:rsidP="00835AB2">
            <w:pPr>
              <w:pStyle w:val="ListParagraph"/>
              <w:numPr>
                <w:ilvl w:val="0"/>
                <w:numId w:val="30"/>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un palier horizontal est aménagé entre deux volées successives ;</w:t>
            </w:r>
          </w:p>
          <w:p w14:paraId="444695DA" w14:textId="09741262" w:rsidR="00870BEB" w:rsidRPr="00394C65" w:rsidRDefault="00870BEB" w:rsidP="00835AB2">
            <w:pPr>
              <w:pStyle w:val="ListParagraph"/>
              <w:numPr>
                <w:ilvl w:val="0"/>
                <w:numId w:val="30"/>
              </w:numPr>
              <w:spacing w:after="0" w:line="240" w:lineRule="auto"/>
              <w:jc w:val="both"/>
              <w:rPr>
                <w:rFonts w:ascii="Times New Roman" w:eastAsia="Times New Roman" w:hAnsi="Times New Roman" w:cs="Times New Roman"/>
                <w:sz w:val="20"/>
                <w:szCs w:val="20"/>
                <w:lang w:eastAsia="fr-FR"/>
              </w:rPr>
            </w:pPr>
            <w:r w:rsidRPr="00394C65">
              <w:rPr>
                <w:rFonts w:ascii="Times New Roman" w:hAnsi="Times New Roman" w:cs="Times New Roman"/>
                <w:sz w:val="20"/>
                <w:szCs w:val="20"/>
              </w:rPr>
              <w:t xml:space="preserve">tout escalier situé sur le tracé d’un chemin d’évacuation </w:t>
            </w:r>
            <w:r w:rsidRPr="00394C65">
              <w:rPr>
                <w:rFonts w:ascii="Times New Roman" w:eastAsia="Times New Roman" w:hAnsi="Times New Roman" w:cs="Times New Roman"/>
                <w:sz w:val="20"/>
                <w:szCs w:val="20"/>
                <w:lang w:eastAsia="fr-FR"/>
              </w:rPr>
              <w:t>ou présent dans un immeuble sans ascenseur est à volée droite</w:t>
            </w:r>
            <w:r w:rsidR="00C84572" w:rsidRPr="00394C65">
              <w:rPr>
                <w:rFonts w:ascii="Times New Roman" w:eastAsia="Times New Roman" w:hAnsi="Times New Roman" w:cs="Times New Roman"/>
                <w:sz w:val="20"/>
                <w:szCs w:val="20"/>
                <w:lang w:eastAsia="fr-FR"/>
              </w:rPr>
              <w:t>.</w:t>
            </w:r>
          </w:p>
          <w:p w14:paraId="25A5DF25" w14:textId="77777777" w:rsidR="00870BEB" w:rsidRPr="00394C65" w:rsidRDefault="00870BEB" w:rsidP="00835AB2">
            <w:pPr>
              <w:jc w:val="both"/>
              <w:rPr>
                <w:sz w:val="20"/>
                <w:szCs w:val="20"/>
              </w:rPr>
            </w:pPr>
          </w:p>
          <w:p w14:paraId="7271D10C" w14:textId="43D6E1EB" w:rsidR="006137B7" w:rsidRPr="00394C65" w:rsidRDefault="006137B7" w:rsidP="00835AB2">
            <w:pPr>
              <w:jc w:val="both"/>
              <w:rPr>
                <w:sz w:val="20"/>
                <w:szCs w:val="20"/>
              </w:rPr>
            </w:pPr>
            <w:r w:rsidRPr="00394C65">
              <w:rPr>
                <w:sz w:val="20"/>
                <w:szCs w:val="20"/>
              </w:rPr>
              <w:t>Les marches ont une contremarche et un profil en Z.</w:t>
            </w:r>
          </w:p>
          <w:p w14:paraId="136DA57C" w14:textId="77777777" w:rsidR="006137B7" w:rsidRPr="00394C65" w:rsidRDefault="006137B7" w:rsidP="00835AB2">
            <w:pPr>
              <w:jc w:val="both"/>
              <w:rPr>
                <w:sz w:val="20"/>
                <w:szCs w:val="20"/>
              </w:rPr>
            </w:pPr>
          </w:p>
          <w:p w14:paraId="70723DB7" w14:textId="0E749D36" w:rsidR="006137B7" w:rsidRPr="00394C65" w:rsidRDefault="006137B7" w:rsidP="00835AB2">
            <w:pPr>
              <w:jc w:val="both"/>
              <w:rPr>
                <w:sz w:val="20"/>
                <w:szCs w:val="20"/>
              </w:rPr>
            </w:pPr>
            <w:r w:rsidRPr="00394C65">
              <w:rPr>
                <w:sz w:val="20"/>
                <w:szCs w:val="20"/>
              </w:rPr>
              <w:t>§</w:t>
            </w:r>
            <w:r w:rsidR="00C84572" w:rsidRPr="00394C65">
              <w:rPr>
                <w:sz w:val="20"/>
                <w:szCs w:val="20"/>
              </w:rPr>
              <w:t xml:space="preserve"> </w:t>
            </w:r>
            <w:r w:rsidRPr="00394C65">
              <w:rPr>
                <w:sz w:val="20"/>
                <w:szCs w:val="20"/>
              </w:rPr>
              <w:t xml:space="preserve">2. L’escalier est équipé des deux côtés d’une double main-courante </w:t>
            </w:r>
            <w:r w:rsidR="00E87820" w:rsidRPr="00394C65">
              <w:rPr>
                <w:sz w:val="20"/>
                <w:szCs w:val="20"/>
              </w:rPr>
              <w:t xml:space="preserve">respectant les </w:t>
            </w:r>
            <w:r w:rsidRPr="00394C65">
              <w:rPr>
                <w:sz w:val="20"/>
                <w:szCs w:val="20"/>
              </w:rPr>
              <w:t>conditions suivantes :</w:t>
            </w:r>
          </w:p>
          <w:p w14:paraId="69B6941B" w14:textId="77777777" w:rsidR="006137B7" w:rsidRPr="00394C65" w:rsidRDefault="006137B7" w:rsidP="00835AB2">
            <w:pPr>
              <w:numPr>
                <w:ilvl w:val="0"/>
                <w:numId w:val="31"/>
              </w:numPr>
              <w:jc w:val="both"/>
              <w:rPr>
                <w:sz w:val="20"/>
                <w:szCs w:val="20"/>
              </w:rPr>
            </w:pPr>
            <w:r w:rsidRPr="00394C65">
              <w:rPr>
                <w:sz w:val="20"/>
                <w:szCs w:val="20"/>
              </w:rPr>
              <w:t xml:space="preserve">les mains-courantes sont </w:t>
            </w:r>
            <w:proofErr w:type="spellStart"/>
            <w:r w:rsidRPr="00394C65">
              <w:rPr>
                <w:sz w:val="20"/>
                <w:szCs w:val="20"/>
              </w:rPr>
              <w:t>continues</w:t>
            </w:r>
            <w:proofErr w:type="spellEnd"/>
            <w:r w:rsidRPr="00394C65">
              <w:rPr>
                <w:sz w:val="20"/>
                <w:szCs w:val="20"/>
              </w:rPr>
              <w:t xml:space="preserve"> et se prolongent de 0,40 m au-delà de la première et de la dernière marches de l’escalier lorsqu’elles sont placées sur une paroi ;</w:t>
            </w:r>
          </w:p>
          <w:p w14:paraId="1C5CCF1D" w14:textId="77777777" w:rsidR="006137B7" w:rsidRPr="00394C65" w:rsidRDefault="006137B7" w:rsidP="00835AB2">
            <w:pPr>
              <w:numPr>
                <w:ilvl w:val="0"/>
                <w:numId w:val="31"/>
              </w:numPr>
              <w:jc w:val="both"/>
              <w:rPr>
                <w:sz w:val="20"/>
                <w:szCs w:val="20"/>
              </w:rPr>
            </w:pPr>
            <w:r w:rsidRPr="00394C65">
              <w:rPr>
                <w:sz w:val="20"/>
                <w:szCs w:val="20"/>
              </w:rPr>
              <w:t>leur accès n’est entravé par aucun obstacle ;</w:t>
            </w:r>
          </w:p>
          <w:p w14:paraId="2F825651" w14:textId="77777777" w:rsidR="006137B7" w:rsidRPr="00394C65" w:rsidRDefault="006137B7" w:rsidP="00835AB2">
            <w:pPr>
              <w:numPr>
                <w:ilvl w:val="0"/>
                <w:numId w:val="31"/>
              </w:numPr>
              <w:jc w:val="both"/>
              <w:rPr>
                <w:sz w:val="20"/>
                <w:szCs w:val="20"/>
              </w:rPr>
            </w:pPr>
            <w:r w:rsidRPr="00394C65">
              <w:rPr>
                <w:sz w:val="20"/>
                <w:szCs w:val="20"/>
              </w:rPr>
              <w:t>les lisses sont fixées à une hauteur de 0,75 m et 1 m respectivement par rapport aux paliers et de 0,65 m et 0,90 m respectivement par rapport au nez des marches ;</w:t>
            </w:r>
          </w:p>
          <w:p w14:paraId="5564E139" w14:textId="2ABFD3DF" w:rsidR="006137B7" w:rsidRPr="00394C65" w:rsidRDefault="006137B7" w:rsidP="00835AB2">
            <w:pPr>
              <w:numPr>
                <w:ilvl w:val="0"/>
                <w:numId w:val="31"/>
              </w:numPr>
              <w:jc w:val="both"/>
              <w:rPr>
                <w:sz w:val="20"/>
                <w:szCs w:val="20"/>
              </w:rPr>
            </w:pPr>
            <w:r w:rsidRPr="00394C65">
              <w:rPr>
                <w:sz w:val="20"/>
                <w:szCs w:val="20"/>
              </w:rPr>
              <w:t>les mains-courantes sont fixées à 3,5 cm au minimum de la paroi éventuelle.</w:t>
            </w:r>
          </w:p>
        </w:tc>
        <w:tc>
          <w:tcPr>
            <w:tcW w:w="4394" w:type="dxa"/>
          </w:tcPr>
          <w:p w14:paraId="29081CFB" w14:textId="77777777" w:rsidR="006137B7" w:rsidRPr="00394C65" w:rsidRDefault="006137B7" w:rsidP="00835AB2">
            <w:pPr>
              <w:jc w:val="both"/>
              <w:rPr>
                <w:sz w:val="20"/>
                <w:szCs w:val="20"/>
              </w:rPr>
            </w:pPr>
          </w:p>
          <w:p w14:paraId="374C8175" w14:textId="77777777" w:rsidR="006137B7" w:rsidRPr="00394C65" w:rsidRDefault="006137B7" w:rsidP="00835AB2">
            <w:pPr>
              <w:jc w:val="both"/>
              <w:rPr>
                <w:sz w:val="20"/>
                <w:szCs w:val="20"/>
              </w:rPr>
            </w:pPr>
          </w:p>
        </w:tc>
      </w:tr>
      <w:tr w:rsidR="00394C65" w:rsidRPr="00394C65" w14:paraId="6C918EC8" w14:textId="77777777" w:rsidTr="00650100">
        <w:tc>
          <w:tcPr>
            <w:tcW w:w="9776" w:type="dxa"/>
          </w:tcPr>
          <w:p w14:paraId="75C3EB49" w14:textId="37D50673" w:rsidR="006137B7" w:rsidRPr="00394C65" w:rsidRDefault="006137B7" w:rsidP="00835AB2">
            <w:pPr>
              <w:jc w:val="both"/>
              <w:rPr>
                <w:b/>
                <w:sz w:val="20"/>
                <w:szCs w:val="20"/>
              </w:rPr>
            </w:pPr>
            <w:r w:rsidRPr="00394C65">
              <w:rPr>
                <w:b/>
                <w:sz w:val="20"/>
                <w:szCs w:val="20"/>
              </w:rPr>
              <w:t xml:space="preserve">Article </w:t>
            </w:r>
            <w:r w:rsidR="00D41D6A" w:rsidRPr="00394C65">
              <w:rPr>
                <w:b/>
                <w:sz w:val="20"/>
                <w:szCs w:val="20"/>
              </w:rPr>
              <w:t xml:space="preserve">8 </w:t>
            </w:r>
            <w:r w:rsidRPr="00394C65">
              <w:rPr>
                <w:b/>
                <w:sz w:val="20"/>
                <w:szCs w:val="20"/>
              </w:rPr>
              <w:t xml:space="preserve">– Escalator et </w:t>
            </w:r>
            <w:r w:rsidR="00D41D6A" w:rsidRPr="00394C65">
              <w:rPr>
                <w:b/>
                <w:sz w:val="20"/>
                <w:szCs w:val="20"/>
              </w:rPr>
              <w:t>tapis roulant</w:t>
            </w:r>
          </w:p>
        </w:tc>
        <w:tc>
          <w:tcPr>
            <w:tcW w:w="4394" w:type="dxa"/>
          </w:tcPr>
          <w:p w14:paraId="78263379" w14:textId="77777777" w:rsidR="006137B7" w:rsidRPr="00394C65" w:rsidRDefault="006137B7" w:rsidP="00835AB2">
            <w:pPr>
              <w:jc w:val="both"/>
              <w:rPr>
                <w:sz w:val="20"/>
                <w:szCs w:val="20"/>
              </w:rPr>
            </w:pPr>
          </w:p>
        </w:tc>
      </w:tr>
      <w:tr w:rsidR="00394C65" w:rsidRPr="00394C65" w14:paraId="48D8C80C" w14:textId="77777777" w:rsidTr="00650100">
        <w:tc>
          <w:tcPr>
            <w:tcW w:w="9776" w:type="dxa"/>
          </w:tcPr>
          <w:p w14:paraId="7FDDE97E" w14:textId="69D82A75" w:rsidR="006137B7" w:rsidRPr="00394C65" w:rsidRDefault="006137B7" w:rsidP="00835AB2">
            <w:pPr>
              <w:jc w:val="both"/>
              <w:rPr>
                <w:sz w:val="20"/>
                <w:szCs w:val="20"/>
              </w:rPr>
            </w:pPr>
            <w:r w:rsidRPr="00394C65">
              <w:rPr>
                <w:sz w:val="20"/>
                <w:szCs w:val="20"/>
              </w:rPr>
              <w:t>L</w:t>
            </w:r>
            <w:r w:rsidR="00E87820" w:rsidRPr="00394C65">
              <w:rPr>
                <w:sz w:val="20"/>
                <w:szCs w:val="20"/>
              </w:rPr>
              <w:t>’</w:t>
            </w:r>
            <w:r w:rsidRPr="00394C65">
              <w:rPr>
                <w:sz w:val="20"/>
                <w:szCs w:val="20"/>
              </w:rPr>
              <w:t xml:space="preserve">escalator et </w:t>
            </w:r>
            <w:r w:rsidR="00E87820" w:rsidRPr="00394C65">
              <w:rPr>
                <w:sz w:val="20"/>
                <w:szCs w:val="20"/>
              </w:rPr>
              <w:t xml:space="preserve">le </w:t>
            </w:r>
            <w:r w:rsidRPr="00394C65">
              <w:rPr>
                <w:sz w:val="20"/>
                <w:szCs w:val="20"/>
              </w:rPr>
              <w:t xml:space="preserve">tapis roulant doivent </w:t>
            </w:r>
            <w:r w:rsidR="00E87820" w:rsidRPr="00394C65">
              <w:rPr>
                <w:sz w:val="20"/>
                <w:szCs w:val="20"/>
              </w:rPr>
              <w:t xml:space="preserve">respectent les conditions </w:t>
            </w:r>
            <w:r w:rsidRPr="00394C65">
              <w:rPr>
                <w:sz w:val="20"/>
                <w:szCs w:val="20"/>
              </w:rPr>
              <w:t>suivantes :</w:t>
            </w:r>
          </w:p>
          <w:p w14:paraId="7F5393C9" w14:textId="77CFE2E4" w:rsidR="006137B7" w:rsidRPr="00394C65"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un passage libre </w:t>
            </w:r>
            <w:r w:rsidR="00024E07" w:rsidRPr="00394C65">
              <w:rPr>
                <w:rFonts w:ascii="Times New Roman" w:hAnsi="Times New Roman" w:cs="Times New Roman"/>
                <w:sz w:val="20"/>
                <w:szCs w:val="20"/>
              </w:rPr>
              <w:t xml:space="preserve">d’une largeur minimale de </w:t>
            </w:r>
            <w:r w:rsidRPr="00394C65">
              <w:rPr>
                <w:rFonts w:ascii="Times New Roman" w:hAnsi="Times New Roman" w:cs="Times New Roman"/>
                <w:sz w:val="20"/>
                <w:szCs w:val="20"/>
              </w:rPr>
              <w:t xml:space="preserve">1,20 m ; </w:t>
            </w:r>
          </w:p>
          <w:p w14:paraId="38A49449" w14:textId="6B9296D4" w:rsidR="006137B7" w:rsidRPr="00394C65"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une main courante de chaque côté du dispositif, dépassant de 0,4</w:t>
            </w:r>
            <w:r w:rsidR="00D41D6A" w:rsidRPr="00394C65">
              <w:rPr>
                <w:rFonts w:ascii="Times New Roman" w:hAnsi="Times New Roman" w:cs="Times New Roman"/>
                <w:sz w:val="20"/>
                <w:szCs w:val="20"/>
              </w:rPr>
              <w:t xml:space="preserve">0 </w:t>
            </w:r>
            <w:r w:rsidRPr="00394C65">
              <w:rPr>
                <w:rFonts w:ascii="Times New Roman" w:hAnsi="Times New Roman" w:cs="Times New Roman"/>
                <w:sz w:val="20"/>
                <w:szCs w:val="20"/>
              </w:rPr>
              <w:t xml:space="preserve">m le nez de la première marche ; </w:t>
            </w:r>
          </w:p>
          <w:p w14:paraId="1CD974CF" w14:textId="77777777" w:rsidR="006137B7" w:rsidRPr="00394C65"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un nez de marches contrasté ;</w:t>
            </w:r>
          </w:p>
          <w:p w14:paraId="5D62FD31" w14:textId="71B13DAC" w:rsidR="006137B7" w:rsidRPr="00394C65"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une bande ou des dalles d’éveil à la vigilance sur 0,6</w:t>
            </w:r>
            <w:r w:rsidR="00D41D6A" w:rsidRPr="00394C65">
              <w:rPr>
                <w:rFonts w:ascii="Times New Roman" w:hAnsi="Times New Roman" w:cs="Times New Roman"/>
                <w:sz w:val="20"/>
                <w:szCs w:val="20"/>
              </w:rPr>
              <w:t xml:space="preserve"> </w:t>
            </w:r>
            <w:r w:rsidRPr="00394C65">
              <w:rPr>
                <w:rFonts w:ascii="Times New Roman" w:hAnsi="Times New Roman" w:cs="Times New Roman"/>
                <w:sz w:val="20"/>
                <w:szCs w:val="20"/>
              </w:rPr>
              <w:t xml:space="preserve">m ; </w:t>
            </w:r>
          </w:p>
          <w:p w14:paraId="39983265" w14:textId="77777777" w:rsidR="006137B7" w:rsidRPr="00394C65"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un sens de circulation prédéterminé ; </w:t>
            </w:r>
          </w:p>
          <w:p w14:paraId="7B79AAFA" w14:textId="22D0C4A2" w:rsidR="006137B7" w:rsidRPr="00394C65" w:rsidRDefault="006137B7" w:rsidP="00835AB2">
            <w:pPr>
              <w:pStyle w:val="ListParagraph"/>
              <w:numPr>
                <w:ilvl w:val="0"/>
                <w:numId w:val="32"/>
              </w:numPr>
              <w:spacing w:after="0" w:line="240" w:lineRule="auto"/>
              <w:jc w:val="both"/>
              <w:rPr>
                <w:b/>
                <w:sz w:val="20"/>
                <w:szCs w:val="20"/>
              </w:rPr>
            </w:pPr>
            <w:r w:rsidRPr="00394C65">
              <w:rPr>
                <w:rFonts w:ascii="Times New Roman" w:hAnsi="Times New Roman" w:cs="Times New Roman"/>
                <w:sz w:val="20"/>
                <w:szCs w:val="20"/>
              </w:rPr>
              <w:t>un signal lumineux à hauteur de la première marche</w:t>
            </w:r>
            <w:r w:rsidR="003F447A" w:rsidRPr="00394C65">
              <w:rPr>
                <w:rFonts w:ascii="Times New Roman" w:hAnsi="Times New Roman" w:cs="Times New Roman"/>
                <w:b/>
                <w:sz w:val="20"/>
                <w:szCs w:val="20"/>
              </w:rPr>
              <w:t>.</w:t>
            </w:r>
          </w:p>
        </w:tc>
        <w:tc>
          <w:tcPr>
            <w:tcW w:w="4394" w:type="dxa"/>
          </w:tcPr>
          <w:p w14:paraId="05A13116" w14:textId="77777777" w:rsidR="006137B7" w:rsidRPr="00394C65" w:rsidRDefault="006137B7" w:rsidP="00835AB2">
            <w:pPr>
              <w:jc w:val="both"/>
              <w:rPr>
                <w:sz w:val="20"/>
                <w:szCs w:val="20"/>
              </w:rPr>
            </w:pPr>
          </w:p>
          <w:p w14:paraId="13E4BAA3" w14:textId="77777777" w:rsidR="006137B7" w:rsidRPr="00394C65" w:rsidRDefault="006137B7" w:rsidP="00835AB2">
            <w:pPr>
              <w:jc w:val="both"/>
              <w:rPr>
                <w:sz w:val="20"/>
                <w:szCs w:val="20"/>
              </w:rPr>
            </w:pPr>
          </w:p>
        </w:tc>
      </w:tr>
      <w:tr w:rsidR="00394C65" w:rsidRPr="00394C65" w14:paraId="69F67ECE" w14:textId="77777777" w:rsidTr="00650100">
        <w:tc>
          <w:tcPr>
            <w:tcW w:w="9776" w:type="dxa"/>
          </w:tcPr>
          <w:p w14:paraId="10E03603" w14:textId="35E28F68" w:rsidR="006D7987" w:rsidRPr="00394C65" w:rsidRDefault="006D7987" w:rsidP="00835AB2">
            <w:pPr>
              <w:jc w:val="both"/>
              <w:rPr>
                <w:sz w:val="20"/>
                <w:szCs w:val="20"/>
              </w:rPr>
            </w:pPr>
            <w:r w:rsidRPr="00394C65">
              <w:rPr>
                <w:b/>
                <w:sz w:val="20"/>
                <w:szCs w:val="20"/>
              </w:rPr>
              <w:t xml:space="preserve">Article </w:t>
            </w:r>
            <w:r w:rsidR="00F96318" w:rsidRPr="00394C65">
              <w:rPr>
                <w:b/>
                <w:sz w:val="20"/>
                <w:szCs w:val="20"/>
              </w:rPr>
              <w:t xml:space="preserve">9 </w:t>
            </w:r>
            <w:r w:rsidR="00F96318" w:rsidRPr="00394C65">
              <w:rPr>
                <w:sz w:val="20"/>
                <w:szCs w:val="20"/>
              </w:rPr>
              <w:t xml:space="preserve"> </w:t>
            </w:r>
            <w:r w:rsidRPr="00394C65">
              <w:rPr>
                <w:b/>
                <w:sz w:val="20"/>
                <w:szCs w:val="20"/>
              </w:rPr>
              <w:t>– Emplacements de parcage</w:t>
            </w:r>
            <w:r w:rsidR="003F447A" w:rsidRPr="00394C65">
              <w:rPr>
                <w:b/>
                <w:sz w:val="20"/>
                <w:szCs w:val="20"/>
              </w:rPr>
              <w:t xml:space="preserve"> adaptés aux personnes à mobilité réduite</w:t>
            </w:r>
          </w:p>
        </w:tc>
        <w:tc>
          <w:tcPr>
            <w:tcW w:w="4394" w:type="dxa"/>
          </w:tcPr>
          <w:p w14:paraId="766709F9" w14:textId="77777777" w:rsidR="006D7987" w:rsidRPr="00394C65" w:rsidRDefault="006D7987" w:rsidP="00835AB2">
            <w:pPr>
              <w:jc w:val="both"/>
              <w:rPr>
                <w:sz w:val="20"/>
                <w:szCs w:val="20"/>
              </w:rPr>
            </w:pPr>
          </w:p>
        </w:tc>
      </w:tr>
      <w:tr w:rsidR="00394C65" w:rsidRPr="00394C65" w14:paraId="4B9C1201" w14:textId="77777777" w:rsidTr="00650100">
        <w:tc>
          <w:tcPr>
            <w:tcW w:w="9776" w:type="dxa"/>
          </w:tcPr>
          <w:p w14:paraId="29266AA8" w14:textId="4AB9B8EB" w:rsidR="006D7987" w:rsidRPr="00394C65" w:rsidRDefault="006D7987" w:rsidP="00835AB2">
            <w:pPr>
              <w:jc w:val="both"/>
              <w:rPr>
                <w:sz w:val="20"/>
                <w:szCs w:val="20"/>
              </w:rPr>
            </w:pPr>
            <w:r w:rsidRPr="00394C65">
              <w:rPr>
                <w:sz w:val="20"/>
                <w:szCs w:val="20"/>
              </w:rPr>
              <w:t>§ 1</w:t>
            </w:r>
            <w:r w:rsidR="003F447A" w:rsidRPr="00394C65">
              <w:rPr>
                <w:sz w:val="20"/>
                <w:szCs w:val="20"/>
                <w:vertAlign w:val="superscript"/>
              </w:rPr>
              <w:t>er</w:t>
            </w:r>
            <w:r w:rsidRPr="00394C65">
              <w:rPr>
                <w:sz w:val="20"/>
                <w:szCs w:val="20"/>
              </w:rPr>
              <w:t xml:space="preserve">. L’emplacement </w:t>
            </w:r>
            <w:r w:rsidR="00F96318" w:rsidRPr="00394C65">
              <w:rPr>
                <w:sz w:val="20"/>
                <w:szCs w:val="20"/>
              </w:rPr>
              <w:t xml:space="preserve">de parcage </w:t>
            </w:r>
            <w:r w:rsidRPr="00394C65">
              <w:rPr>
                <w:sz w:val="20"/>
                <w:szCs w:val="20"/>
              </w:rPr>
              <w:t>adapté a une longueur et une largeur minimales de 5 m et 3,30 m respectivement, à l’exception des parkings où les emplacements se situent les uns derrière les autres. Dans ce cas, ils ont une longueur minimale de 6 m et une largeur qui peut être réduite à 2,50 m en l’absence d’obstacle latéral.</w:t>
            </w:r>
          </w:p>
          <w:p w14:paraId="41D675D7" w14:textId="77777777" w:rsidR="006D7987" w:rsidRPr="00394C65" w:rsidRDefault="006D7987" w:rsidP="00835AB2">
            <w:pPr>
              <w:jc w:val="both"/>
              <w:rPr>
                <w:sz w:val="20"/>
                <w:szCs w:val="20"/>
              </w:rPr>
            </w:pPr>
          </w:p>
          <w:p w14:paraId="5B738588" w14:textId="61906DC2" w:rsidR="006D7987" w:rsidRPr="00394C65" w:rsidRDefault="006D7987" w:rsidP="00835AB2">
            <w:pPr>
              <w:jc w:val="both"/>
              <w:rPr>
                <w:sz w:val="20"/>
                <w:szCs w:val="20"/>
              </w:rPr>
            </w:pPr>
            <w:r w:rsidRPr="00394C65">
              <w:rPr>
                <w:sz w:val="20"/>
                <w:szCs w:val="20"/>
              </w:rPr>
              <w:t xml:space="preserve">§ 2. Les emplacements adaptés sont situés le plus près possible des voies d’accès visées à l’article </w:t>
            </w:r>
            <w:r w:rsidR="00F96318" w:rsidRPr="00394C65">
              <w:rPr>
                <w:sz w:val="20"/>
                <w:szCs w:val="20"/>
              </w:rPr>
              <w:t>10</w:t>
            </w:r>
            <w:r w:rsidRPr="00394C65">
              <w:rPr>
                <w:sz w:val="20"/>
                <w:szCs w:val="20"/>
              </w:rPr>
              <w:t xml:space="preserve"> et à une distance maximale de 50 m de l’une d’elles.</w:t>
            </w:r>
          </w:p>
          <w:p w14:paraId="79D696BB" w14:textId="77777777" w:rsidR="006D7987" w:rsidRPr="00394C65" w:rsidRDefault="006D7987" w:rsidP="00835AB2">
            <w:pPr>
              <w:jc w:val="both"/>
              <w:rPr>
                <w:sz w:val="20"/>
                <w:szCs w:val="20"/>
              </w:rPr>
            </w:pPr>
          </w:p>
          <w:p w14:paraId="38618C74" w14:textId="3FE409FA" w:rsidR="006D7987" w:rsidRPr="00394C65" w:rsidRDefault="006D7987" w:rsidP="00835AB2">
            <w:pPr>
              <w:jc w:val="both"/>
              <w:rPr>
                <w:sz w:val="20"/>
                <w:szCs w:val="20"/>
              </w:rPr>
            </w:pPr>
            <w:r w:rsidRPr="00394C65">
              <w:rPr>
                <w:sz w:val="20"/>
                <w:szCs w:val="20"/>
              </w:rPr>
              <w:t xml:space="preserve">Les emplacements </w:t>
            </w:r>
            <w:r w:rsidR="00F96318" w:rsidRPr="00394C65">
              <w:rPr>
                <w:sz w:val="20"/>
                <w:szCs w:val="20"/>
              </w:rPr>
              <w:t>adaptés</w:t>
            </w:r>
            <w:r w:rsidRPr="00394C65">
              <w:rPr>
                <w:sz w:val="20"/>
                <w:szCs w:val="20"/>
              </w:rPr>
              <w:t xml:space="preserve"> ont une surface non meuble. Ils sont réservés sur une surface horizontale.</w:t>
            </w:r>
          </w:p>
          <w:p w14:paraId="1156162F" w14:textId="77777777" w:rsidR="006D7987" w:rsidRPr="00394C65" w:rsidRDefault="006D7987" w:rsidP="00835AB2">
            <w:pPr>
              <w:jc w:val="both"/>
              <w:rPr>
                <w:sz w:val="20"/>
                <w:szCs w:val="20"/>
              </w:rPr>
            </w:pPr>
          </w:p>
          <w:p w14:paraId="2E9DCCF6" w14:textId="77777777" w:rsidR="006D7987" w:rsidRPr="00394C65" w:rsidRDefault="006D7987" w:rsidP="00835AB2">
            <w:pPr>
              <w:jc w:val="both"/>
              <w:rPr>
                <w:sz w:val="20"/>
                <w:szCs w:val="20"/>
              </w:rPr>
            </w:pPr>
            <w:r w:rsidRPr="00394C65">
              <w:rPr>
                <w:sz w:val="20"/>
                <w:szCs w:val="20"/>
              </w:rPr>
              <w:t>Ils sont signalés tant verticalement qu’horizontalement au moyen du symbole international d’accessibilité.</w:t>
            </w:r>
          </w:p>
          <w:p w14:paraId="76CCC292" w14:textId="77777777" w:rsidR="006D7987" w:rsidRPr="00394C65" w:rsidRDefault="006D7987" w:rsidP="00835AB2">
            <w:pPr>
              <w:jc w:val="both"/>
              <w:rPr>
                <w:sz w:val="20"/>
                <w:szCs w:val="20"/>
              </w:rPr>
            </w:pPr>
          </w:p>
        </w:tc>
        <w:tc>
          <w:tcPr>
            <w:tcW w:w="4394" w:type="dxa"/>
          </w:tcPr>
          <w:p w14:paraId="402C4C0D" w14:textId="49FCD556" w:rsidR="006D7987" w:rsidRPr="00394C65" w:rsidRDefault="00E87820" w:rsidP="00835AB2">
            <w:pPr>
              <w:jc w:val="both"/>
              <w:rPr>
                <w:sz w:val="20"/>
                <w:szCs w:val="20"/>
              </w:rPr>
            </w:pPr>
            <w:r w:rsidRPr="00394C65">
              <w:rPr>
                <w:sz w:val="20"/>
                <w:szCs w:val="20"/>
              </w:rPr>
              <w:lastRenderedPageBreak/>
              <w:t xml:space="preserve">Remarque : </w:t>
            </w:r>
            <w:r w:rsidR="006D7987" w:rsidRPr="00394C65">
              <w:rPr>
                <w:sz w:val="20"/>
                <w:szCs w:val="20"/>
              </w:rPr>
              <w:t xml:space="preserve">Le titre I prévoit que les parkings à l’air libre doivent comporter au moins deux emplacements de parcage adaptés aux personnes à mobilité réduite et, au-delà de 50 emplacements de parcage pour des véhicules automobiles, au moins un emplacement adapté supplémentaire par tranche entamée de 50 emplacements de parcage. Les emplacements </w:t>
            </w:r>
            <w:r w:rsidR="006D7987" w:rsidRPr="00394C65">
              <w:rPr>
                <w:sz w:val="20"/>
                <w:szCs w:val="20"/>
              </w:rPr>
              <w:lastRenderedPageBreak/>
              <w:t xml:space="preserve">de parcage adaptés sont situés le plus près possible des accès. </w:t>
            </w:r>
          </w:p>
          <w:p w14:paraId="7E6E63D6" w14:textId="77777777" w:rsidR="006D7987" w:rsidRPr="00394C65" w:rsidRDefault="006D7987" w:rsidP="00835AB2">
            <w:pPr>
              <w:jc w:val="both"/>
              <w:rPr>
                <w:sz w:val="20"/>
                <w:szCs w:val="20"/>
              </w:rPr>
            </w:pPr>
          </w:p>
          <w:p w14:paraId="6BF91621" w14:textId="03912AF9" w:rsidR="006D7987" w:rsidRPr="00394C65" w:rsidRDefault="006D7987" w:rsidP="00835AB2">
            <w:pPr>
              <w:jc w:val="both"/>
              <w:rPr>
                <w:sz w:val="20"/>
                <w:szCs w:val="20"/>
              </w:rPr>
            </w:pPr>
            <w:r w:rsidRPr="00394C65">
              <w:rPr>
                <w:sz w:val="20"/>
                <w:szCs w:val="20"/>
              </w:rPr>
              <w:t xml:space="preserve">Le titre III du RRU prévoit qu’au moins un emplacement de parcage par tranche entamée de 10 emplacement soit adapté pour les </w:t>
            </w:r>
            <w:r w:rsidR="00916AF1" w:rsidRPr="00394C65">
              <w:rPr>
                <w:sz w:val="20"/>
                <w:szCs w:val="20"/>
              </w:rPr>
              <w:t>personnes à mobilité réduite</w:t>
            </w:r>
            <w:r w:rsidRPr="00394C65">
              <w:rPr>
                <w:sz w:val="20"/>
                <w:szCs w:val="20"/>
              </w:rPr>
              <w:t xml:space="preserve"> en cas de création de parking sur base des dispositions de ledit titre. </w:t>
            </w:r>
          </w:p>
          <w:p w14:paraId="2EF0E996" w14:textId="77777777" w:rsidR="006D7987" w:rsidRPr="00394C65" w:rsidRDefault="006D7987" w:rsidP="00835AB2">
            <w:pPr>
              <w:jc w:val="both"/>
              <w:rPr>
                <w:sz w:val="20"/>
                <w:szCs w:val="20"/>
              </w:rPr>
            </w:pPr>
          </w:p>
          <w:p w14:paraId="6B3DE5C6" w14:textId="76C3D85B" w:rsidR="006D7987" w:rsidRPr="00394C65" w:rsidRDefault="006D7987" w:rsidP="00835AB2">
            <w:pPr>
              <w:jc w:val="both"/>
              <w:rPr>
                <w:sz w:val="20"/>
                <w:szCs w:val="20"/>
              </w:rPr>
            </w:pPr>
            <w:r w:rsidRPr="00394C65">
              <w:rPr>
                <w:sz w:val="20"/>
                <w:szCs w:val="20"/>
              </w:rPr>
              <w:t xml:space="preserve">L’article </w:t>
            </w:r>
            <w:r w:rsidR="00D85091" w:rsidRPr="00394C65">
              <w:rPr>
                <w:sz w:val="20"/>
                <w:szCs w:val="20"/>
              </w:rPr>
              <w:t xml:space="preserve">21 </w:t>
            </w:r>
            <w:r w:rsidRPr="00394C65">
              <w:rPr>
                <w:sz w:val="20"/>
                <w:szCs w:val="20"/>
              </w:rPr>
              <w:t xml:space="preserve">du présent titre prévoit une obligation de signalisation de ces emplacements. </w:t>
            </w:r>
          </w:p>
          <w:p w14:paraId="3D283C3F" w14:textId="2FE0A0A2" w:rsidR="006D7987" w:rsidRPr="00394C65" w:rsidRDefault="006D7987" w:rsidP="004B1319"/>
        </w:tc>
      </w:tr>
      <w:tr w:rsidR="00394C65" w:rsidRPr="00394C65" w14:paraId="532BFDF5" w14:textId="77777777" w:rsidTr="00650100">
        <w:tc>
          <w:tcPr>
            <w:tcW w:w="9776" w:type="dxa"/>
          </w:tcPr>
          <w:p w14:paraId="44C30792" w14:textId="15ADA834" w:rsidR="00B518A9" w:rsidRPr="00394C65" w:rsidRDefault="00AE217B" w:rsidP="00AE217B">
            <w:pPr>
              <w:jc w:val="both"/>
              <w:rPr>
                <w:b/>
                <w:sz w:val="20"/>
                <w:szCs w:val="20"/>
              </w:rPr>
            </w:pPr>
            <w:r w:rsidRPr="00394C65">
              <w:rPr>
                <w:b/>
                <w:sz w:val="20"/>
                <w:szCs w:val="20"/>
              </w:rPr>
              <w:lastRenderedPageBreak/>
              <w:t xml:space="preserve">Section </w:t>
            </w:r>
            <w:r w:rsidR="006A4DE2" w:rsidRPr="00394C65">
              <w:rPr>
                <w:b/>
                <w:sz w:val="20"/>
                <w:szCs w:val="20"/>
              </w:rPr>
              <w:t>3</w:t>
            </w:r>
            <w:r w:rsidR="00B518A9" w:rsidRPr="00394C65">
              <w:rPr>
                <w:b/>
                <w:sz w:val="20"/>
                <w:szCs w:val="20"/>
              </w:rPr>
              <w:t xml:space="preserve"> : </w:t>
            </w:r>
            <w:r w:rsidRPr="00394C65">
              <w:rPr>
                <w:b/>
                <w:sz w:val="20"/>
                <w:szCs w:val="20"/>
              </w:rPr>
              <w:t xml:space="preserve">Accès aux bâtiments </w:t>
            </w:r>
          </w:p>
        </w:tc>
        <w:tc>
          <w:tcPr>
            <w:tcW w:w="4394" w:type="dxa"/>
          </w:tcPr>
          <w:p w14:paraId="0906565E" w14:textId="77777777" w:rsidR="003E4BC0" w:rsidRPr="00394C65" w:rsidRDefault="003E4BC0" w:rsidP="00835AB2">
            <w:pPr>
              <w:jc w:val="both"/>
              <w:rPr>
                <w:sz w:val="20"/>
                <w:szCs w:val="20"/>
              </w:rPr>
            </w:pPr>
          </w:p>
        </w:tc>
      </w:tr>
      <w:tr w:rsidR="00394C65" w:rsidRPr="00394C65" w14:paraId="3C8DDE3B" w14:textId="77777777" w:rsidTr="00650100">
        <w:tc>
          <w:tcPr>
            <w:tcW w:w="9776" w:type="dxa"/>
          </w:tcPr>
          <w:p w14:paraId="05F0CD5A" w14:textId="273D0524" w:rsidR="0009522F" w:rsidRPr="00394C65" w:rsidRDefault="0009522F" w:rsidP="00835AB2">
            <w:pPr>
              <w:jc w:val="both"/>
              <w:rPr>
                <w:sz w:val="20"/>
                <w:szCs w:val="20"/>
              </w:rPr>
            </w:pPr>
            <w:r w:rsidRPr="00394C65">
              <w:rPr>
                <w:b/>
                <w:sz w:val="20"/>
                <w:szCs w:val="20"/>
              </w:rPr>
              <w:t>Article</w:t>
            </w:r>
            <w:r w:rsidRPr="00394C65">
              <w:rPr>
                <w:sz w:val="20"/>
                <w:szCs w:val="20"/>
              </w:rPr>
              <w:t xml:space="preserve"> </w:t>
            </w:r>
            <w:r w:rsidR="00F96318" w:rsidRPr="00394C65">
              <w:rPr>
                <w:b/>
                <w:sz w:val="20"/>
                <w:szCs w:val="20"/>
              </w:rPr>
              <w:t xml:space="preserve">10 </w:t>
            </w:r>
            <w:r w:rsidRPr="00394C65">
              <w:rPr>
                <w:b/>
                <w:sz w:val="20"/>
                <w:szCs w:val="20"/>
              </w:rPr>
              <w:t>– Voie d’accès</w:t>
            </w:r>
            <w:r w:rsidR="00417F5E" w:rsidRPr="00394C65">
              <w:rPr>
                <w:b/>
                <w:sz w:val="20"/>
                <w:szCs w:val="20"/>
              </w:rPr>
              <w:t xml:space="preserve"> et évacuation </w:t>
            </w:r>
          </w:p>
        </w:tc>
        <w:tc>
          <w:tcPr>
            <w:tcW w:w="4394" w:type="dxa"/>
          </w:tcPr>
          <w:p w14:paraId="0202B2B1" w14:textId="77777777" w:rsidR="003E4BC0" w:rsidRPr="00394C65" w:rsidRDefault="003E4BC0" w:rsidP="00835AB2">
            <w:pPr>
              <w:jc w:val="both"/>
              <w:rPr>
                <w:sz w:val="20"/>
                <w:szCs w:val="20"/>
              </w:rPr>
            </w:pPr>
          </w:p>
        </w:tc>
      </w:tr>
      <w:tr w:rsidR="00394C65" w:rsidRPr="00394C65" w14:paraId="0E158803" w14:textId="77777777" w:rsidTr="00650100">
        <w:tc>
          <w:tcPr>
            <w:tcW w:w="9776" w:type="dxa"/>
          </w:tcPr>
          <w:p w14:paraId="2F2FD813" w14:textId="7578CFB7" w:rsidR="00D4527D" w:rsidRPr="00394C65" w:rsidRDefault="003E4BC0" w:rsidP="00835AB2">
            <w:pPr>
              <w:jc w:val="both"/>
              <w:rPr>
                <w:sz w:val="20"/>
                <w:szCs w:val="20"/>
              </w:rPr>
            </w:pPr>
            <w:r w:rsidRPr="00394C65">
              <w:rPr>
                <w:sz w:val="20"/>
                <w:szCs w:val="20"/>
              </w:rPr>
              <w:t xml:space="preserve">§ </w:t>
            </w:r>
            <w:r w:rsidR="003411F2" w:rsidRPr="00394C65">
              <w:rPr>
                <w:sz w:val="20"/>
                <w:szCs w:val="20"/>
              </w:rPr>
              <w:t>1</w:t>
            </w:r>
            <w:r w:rsidR="00F96318" w:rsidRPr="00394C65">
              <w:rPr>
                <w:sz w:val="20"/>
                <w:szCs w:val="20"/>
                <w:vertAlign w:val="superscript"/>
              </w:rPr>
              <w:t>er</w:t>
            </w:r>
            <w:r w:rsidRPr="00394C65">
              <w:rPr>
                <w:sz w:val="20"/>
                <w:szCs w:val="20"/>
              </w:rPr>
              <w:t>. La voie d’accès</w:t>
            </w:r>
            <w:r w:rsidR="00D4527D" w:rsidRPr="00394C65">
              <w:rPr>
                <w:sz w:val="20"/>
                <w:szCs w:val="20"/>
              </w:rPr>
              <w:t> </w:t>
            </w:r>
            <w:r w:rsidR="004B3FAC" w:rsidRPr="00394C65">
              <w:rPr>
                <w:sz w:val="20"/>
                <w:szCs w:val="20"/>
              </w:rPr>
              <w:t xml:space="preserve">respecte les conditions suivantes </w:t>
            </w:r>
            <w:r w:rsidR="00D4527D" w:rsidRPr="00394C65">
              <w:rPr>
                <w:sz w:val="20"/>
                <w:szCs w:val="20"/>
              </w:rPr>
              <w:t>:</w:t>
            </w:r>
          </w:p>
          <w:p w14:paraId="5DCC0C77" w14:textId="1073B388" w:rsidR="00D4527D" w:rsidRPr="00394C65" w:rsidRDefault="004B3FAC" w:rsidP="00835AB2">
            <w:pPr>
              <w:pStyle w:val="ListParagraph"/>
              <w:numPr>
                <w:ilvl w:val="0"/>
                <w:numId w:val="33"/>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elle </w:t>
            </w:r>
            <w:r w:rsidR="00D4527D" w:rsidRPr="00394C65">
              <w:rPr>
                <w:rFonts w:ascii="Times New Roman" w:eastAsia="Times New Roman" w:hAnsi="Times New Roman" w:cs="Times New Roman"/>
                <w:sz w:val="20"/>
                <w:szCs w:val="20"/>
                <w:lang w:eastAsia="fr-FR"/>
              </w:rPr>
              <w:t xml:space="preserve">est </w:t>
            </w:r>
            <w:r w:rsidR="003E4BC0" w:rsidRPr="00394C65">
              <w:rPr>
                <w:rFonts w:ascii="Times New Roman" w:eastAsia="Times New Roman" w:hAnsi="Times New Roman" w:cs="Times New Roman"/>
                <w:sz w:val="20"/>
                <w:szCs w:val="20"/>
                <w:lang w:eastAsia="fr-FR"/>
              </w:rPr>
              <w:t>la plus directe possible</w:t>
            </w:r>
            <w:r w:rsidR="006F30DD" w:rsidRPr="00394C65">
              <w:rPr>
                <w:rFonts w:ascii="Times New Roman" w:eastAsia="Times New Roman" w:hAnsi="Times New Roman" w:cs="Times New Roman"/>
                <w:sz w:val="20"/>
                <w:szCs w:val="20"/>
                <w:lang w:eastAsia="fr-FR"/>
              </w:rPr>
              <w:t> ;</w:t>
            </w:r>
            <w:r w:rsidR="003E4BC0" w:rsidRPr="00394C65">
              <w:rPr>
                <w:rFonts w:ascii="Times New Roman" w:eastAsia="Times New Roman" w:hAnsi="Times New Roman" w:cs="Times New Roman"/>
                <w:sz w:val="20"/>
                <w:szCs w:val="20"/>
                <w:lang w:eastAsia="fr-FR"/>
              </w:rPr>
              <w:t xml:space="preserve"> </w:t>
            </w:r>
          </w:p>
          <w:p w14:paraId="62212691" w14:textId="66A47F77" w:rsidR="00D4527D" w:rsidRPr="00394C65" w:rsidRDefault="004B3FAC" w:rsidP="00835AB2">
            <w:pPr>
              <w:pStyle w:val="ListParagraph"/>
              <w:numPr>
                <w:ilvl w:val="0"/>
                <w:numId w:val="33"/>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elle a </w:t>
            </w:r>
            <w:r w:rsidR="00D4527D" w:rsidRPr="00394C65">
              <w:rPr>
                <w:rFonts w:ascii="Times New Roman" w:eastAsia="Times New Roman" w:hAnsi="Times New Roman" w:cs="Times New Roman"/>
                <w:sz w:val="20"/>
                <w:szCs w:val="20"/>
                <w:lang w:eastAsia="fr-FR"/>
              </w:rPr>
              <w:t>une hauteur de libre passage supérieure à 2,20 m. En cas d’impossibilité technique, un contraste visuel</w:t>
            </w:r>
            <w:r w:rsidR="00C71250" w:rsidRPr="00394C65">
              <w:rPr>
                <w:rFonts w:ascii="Times New Roman" w:eastAsia="Times New Roman" w:hAnsi="Times New Roman" w:cs="Times New Roman"/>
                <w:sz w:val="20"/>
                <w:szCs w:val="20"/>
                <w:lang w:eastAsia="fr-FR"/>
              </w:rPr>
              <w:t xml:space="preserve"> et </w:t>
            </w:r>
            <w:r w:rsidR="00D4527D" w:rsidRPr="00394C65">
              <w:rPr>
                <w:rFonts w:ascii="Times New Roman" w:eastAsia="Times New Roman" w:hAnsi="Times New Roman" w:cs="Times New Roman"/>
                <w:sz w:val="20"/>
                <w:szCs w:val="20"/>
                <w:lang w:eastAsia="fr-FR"/>
              </w:rPr>
              <w:t>une sécurisation tactile des éléments ou de l’espace présentant une hauteur inférieure à 2,20 m </w:t>
            </w:r>
            <w:r w:rsidR="00C71250" w:rsidRPr="00394C65">
              <w:rPr>
                <w:rFonts w:ascii="Times New Roman" w:eastAsia="Times New Roman" w:hAnsi="Times New Roman" w:cs="Times New Roman"/>
                <w:sz w:val="20"/>
                <w:szCs w:val="20"/>
                <w:lang w:eastAsia="fr-FR"/>
              </w:rPr>
              <w:t xml:space="preserve">sont assurées </w:t>
            </w:r>
            <w:r w:rsidR="00D4527D" w:rsidRPr="00394C65">
              <w:rPr>
                <w:rFonts w:ascii="Times New Roman" w:eastAsia="Times New Roman" w:hAnsi="Times New Roman" w:cs="Times New Roman"/>
                <w:sz w:val="20"/>
                <w:szCs w:val="20"/>
                <w:lang w:eastAsia="fr-FR"/>
              </w:rPr>
              <w:t>;</w:t>
            </w:r>
          </w:p>
          <w:p w14:paraId="63B549C0" w14:textId="4DE7B54F" w:rsidR="003E4BC0" w:rsidRPr="00394C65" w:rsidRDefault="00C71250" w:rsidP="00835AB2">
            <w:pPr>
              <w:pStyle w:val="ListParagraph"/>
              <w:numPr>
                <w:ilvl w:val="0"/>
                <w:numId w:val="33"/>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elle </w:t>
            </w:r>
            <w:r w:rsidR="003E4BC0" w:rsidRPr="00394C65">
              <w:rPr>
                <w:rFonts w:ascii="Times New Roman" w:eastAsia="Times New Roman" w:hAnsi="Times New Roman" w:cs="Times New Roman"/>
                <w:sz w:val="20"/>
                <w:szCs w:val="20"/>
                <w:lang w:eastAsia="fr-FR"/>
              </w:rPr>
              <w:t>répond à l’une des trois conditions suivantes :</w:t>
            </w:r>
          </w:p>
          <w:p w14:paraId="7A6EEC3A" w14:textId="3078B76C" w:rsidR="003E4BC0" w:rsidRPr="00394C65" w:rsidRDefault="003E4BC0" w:rsidP="00835AB2">
            <w:pPr>
              <w:numPr>
                <w:ilvl w:val="0"/>
                <w:numId w:val="34"/>
              </w:numPr>
              <w:jc w:val="both"/>
              <w:rPr>
                <w:sz w:val="20"/>
                <w:szCs w:val="20"/>
              </w:rPr>
            </w:pPr>
            <w:r w:rsidRPr="00394C65">
              <w:rPr>
                <w:sz w:val="20"/>
                <w:szCs w:val="20"/>
              </w:rPr>
              <w:t>être de plain-pied</w:t>
            </w:r>
            <w:r w:rsidR="00C71250" w:rsidRPr="00394C65">
              <w:rPr>
                <w:sz w:val="20"/>
                <w:szCs w:val="20"/>
              </w:rPr>
              <w:t xml:space="preserve">. Une </w:t>
            </w:r>
            <w:r w:rsidRPr="00394C65">
              <w:rPr>
                <w:sz w:val="20"/>
                <w:szCs w:val="20"/>
              </w:rPr>
              <w:t>pente de dévers inférieure ou égale à 2% </w:t>
            </w:r>
            <w:r w:rsidR="00C763A2" w:rsidRPr="00394C65">
              <w:rPr>
                <w:sz w:val="20"/>
                <w:szCs w:val="20"/>
              </w:rPr>
              <w:t>est tolérée</w:t>
            </w:r>
            <w:r w:rsidR="00C71250" w:rsidRPr="00394C65">
              <w:rPr>
                <w:sz w:val="20"/>
                <w:szCs w:val="20"/>
              </w:rPr>
              <w:t xml:space="preserve">. </w:t>
            </w:r>
            <w:r w:rsidRPr="00394C65">
              <w:rPr>
                <w:sz w:val="20"/>
                <w:szCs w:val="20"/>
              </w:rPr>
              <w:t>Si une pente est nécessaire perpendiculairement au sens de la marche notamment dans le cas d’évacuation des eaux en extérieur, celle-ci ne peut dépasser 2 cm/mètre.</w:t>
            </w:r>
          </w:p>
          <w:p w14:paraId="02365D39" w14:textId="222166DA" w:rsidR="003E4BC0" w:rsidRPr="00394C65" w:rsidRDefault="003E4BC0" w:rsidP="00835AB2">
            <w:pPr>
              <w:numPr>
                <w:ilvl w:val="0"/>
                <w:numId w:val="34"/>
              </w:numPr>
              <w:jc w:val="both"/>
              <w:rPr>
                <w:sz w:val="20"/>
                <w:szCs w:val="20"/>
              </w:rPr>
            </w:pPr>
            <w:r w:rsidRPr="00394C65">
              <w:rPr>
                <w:sz w:val="20"/>
                <w:szCs w:val="20"/>
              </w:rPr>
              <w:t xml:space="preserve">être réalisée par une rampe répondant aux conditions visées à </w:t>
            </w:r>
            <w:r w:rsidR="0009522F" w:rsidRPr="00394C65">
              <w:rPr>
                <w:sz w:val="20"/>
                <w:szCs w:val="20"/>
              </w:rPr>
              <w:t xml:space="preserve">l’article </w:t>
            </w:r>
            <w:r w:rsidR="00364A4C" w:rsidRPr="00394C65">
              <w:rPr>
                <w:sz w:val="20"/>
                <w:szCs w:val="20"/>
              </w:rPr>
              <w:t xml:space="preserve">5 </w:t>
            </w:r>
            <w:r w:rsidR="006A4DE2" w:rsidRPr="00394C65">
              <w:rPr>
                <w:sz w:val="20"/>
                <w:szCs w:val="20"/>
              </w:rPr>
              <w:t>de la présente annexe</w:t>
            </w:r>
            <w:r w:rsidRPr="00394C65">
              <w:rPr>
                <w:sz w:val="20"/>
                <w:szCs w:val="20"/>
              </w:rPr>
              <w:t> ;</w:t>
            </w:r>
          </w:p>
          <w:p w14:paraId="05516346" w14:textId="76739102" w:rsidR="003E4BC0" w:rsidRPr="00394C65" w:rsidRDefault="003E4BC0" w:rsidP="00835AB2">
            <w:pPr>
              <w:numPr>
                <w:ilvl w:val="0"/>
                <w:numId w:val="34"/>
              </w:numPr>
              <w:jc w:val="both"/>
              <w:rPr>
                <w:sz w:val="20"/>
                <w:szCs w:val="20"/>
              </w:rPr>
            </w:pPr>
            <w:r w:rsidRPr="00394C65">
              <w:rPr>
                <w:sz w:val="20"/>
                <w:szCs w:val="20"/>
              </w:rPr>
              <w:t>être réalisée par un ascenseur ou un élévateur à plateforme répondant aux conditions visées à l’article</w:t>
            </w:r>
            <w:r w:rsidR="0009522F" w:rsidRPr="00394C65">
              <w:rPr>
                <w:sz w:val="20"/>
                <w:szCs w:val="20"/>
              </w:rPr>
              <w:t xml:space="preserve"> </w:t>
            </w:r>
            <w:r w:rsidR="00364A4C" w:rsidRPr="00394C65">
              <w:rPr>
                <w:sz w:val="20"/>
                <w:szCs w:val="20"/>
              </w:rPr>
              <w:t>6</w:t>
            </w:r>
            <w:r w:rsidRPr="00394C65">
              <w:rPr>
                <w:sz w:val="20"/>
                <w:szCs w:val="20"/>
              </w:rPr>
              <w:t xml:space="preserve">. </w:t>
            </w:r>
          </w:p>
          <w:p w14:paraId="42E40ECF" w14:textId="77777777" w:rsidR="00D4527D" w:rsidRPr="00394C65" w:rsidRDefault="00D4527D" w:rsidP="00835AB2">
            <w:pPr>
              <w:jc w:val="both"/>
              <w:rPr>
                <w:sz w:val="20"/>
                <w:szCs w:val="20"/>
              </w:rPr>
            </w:pPr>
          </w:p>
          <w:p w14:paraId="4111DC15" w14:textId="0DCAB3DE" w:rsidR="00417F5E" w:rsidRPr="00394C65" w:rsidRDefault="00417F5E" w:rsidP="00835AB2">
            <w:pPr>
              <w:jc w:val="both"/>
              <w:rPr>
                <w:sz w:val="20"/>
                <w:szCs w:val="20"/>
                <w:lang w:val="fr-FR"/>
              </w:rPr>
            </w:pPr>
            <w:r w:rsidRPr="00394C65">
              <w:rPr>
                <w:sz w:val="20"/>
                <w:szCs w:val="20"/>
                <w:lang w:val="fr-FR"/>
              </w:rPr>
              <w:t xml:space="preserve">§ 2. Les voies d’évacuation extérieures répondent aux conditions visées </w:t>
            </w:r>
            <w:r w:rsidR="00A856EE" w:rsidRPr="00394C65">
              <w:rPr>
                <w:sz w:val="20"/>
                <w:szCs w:val="20"/>
                <w:lang w:val="fr-FR"/>
              </w:rPr>
              <w:t>au paragraphe 1</w:t>
            </w:r>
            <w:r w:rsidR="00A856EE" w:rsidRPr="00394C65">
              <w:rPr>
                <w:sz w:val="20"/>
                <w:szCs w:val="20"/>
                <w:vertAlign w:val="superscript"/>
                <w:lang w:val="fr-FR"/>
              </w:rPr>
              <w:t>er</w:t>
            </w:r>
            <w:r w:rsidR="00A856EE" w:rsidRPr="00394C65">
              <w:rPr>
                <w:sz w:val="20"/>
                <w:szCs w:val="20"/>
                <w:lang w:val="fr-FR"/>
              </w:rPr>
              <w:t xml:space="preserve">. </w:t>
            </w:r>
          </w:p>
          <w:p w14:paraId="18918401" w14:textId="77354DEE" w:rsidR="003E4BC0" w:rsidRPr="00394C65" w:rsidRDefault="003E4BC0" w:rsidP="00AB35CB">
            <w:pPr>
              <w:jc w:val="both"/>
              <w:rPr>
                <w:sz w:val="20"/>
                <w:szCs w:val="20"/>
              </w:rPr>
            </w:pPr>
          </w:p>
        </w:tc>
        <w:tc>
          <w:tcPr>
            <w:tcW w:w="4394" w:type="dxa"/>
          </w:tcPr>
          <w:p w14:paraId="5F939409" w14:textId="378E61C6" w:rsidR="00F05E52" w:rsidRPr="00394C65" w:rsidRDefault="00835AB2" w:rsidP="00835AB2">
            <w:pPr>
              <w:jc w:val="both"/>
              <w:rPr>
                <w:sz w:val="20"/>
                <w:szCs w:val="20"/>
              </w:rPr>
            </w:pPr>
            <w:r w:rsidRPr="00394C65">
              <w:rPr>
                <w:sz w:val="20"/>
                <w:szCs w:val="20"/>
              </w:rPr>
              <w:t xml:space="preserve">Remarque : </w:t>
            </w:r>
            <w:r w:rsidR="00F05E52" w:rsidRPr="00394C65">
              <w:rPr>
                <w:sz w:val="20"/>
                <w:szCs w:val="20"/>
              </w:rPr>
              <w:t>Le titre I du RRU prévoit que les bâtiments accessibles au public comportent au moins une voie d’accès piétonne de 2 m de large permettant l’accès aisé, sécurisé et confortable des personnes à mobilité réduite.</w:t>
            </w:r>
            <w:r w:rsidR="00AB5354" w:rsidRPr="00394C65">
              <w:rPr>
                <w:sz w:val="20"/>
                <w:szCs w:val="20"/>
              </w:rPr>
              <w:t xml:space="preserve"> </w:t>
            </w:r>
            <w:r w:rsidR="00F05E52" w:rsidRPr="00394C65">
              <w:rPr>
                <w:sz w:val="20"/>
                <w:szCs w:val="20"/>
              </w:rPr>
              <w:t>Cette voie d’accès est située à proximité immédiate de l’entrée principale. Elle est aménagée de plain-pied ou, en cas de dénivelé, dispose d’une rampe ou d’un élévateur adapté aux personnes à mobilité réduite.</w:t>
            </w:r>
          </w:p>
          <w:p w14:paraId="3650068C" w14:textId="16219D6B" w:rsidR="003411F2" w:rsidRPr="00394C65" w:rsidRDefault="003411F2" w:rsidP="00835AB2">
            <w:pPr>
              <w:jc w:val="both"/>
              <w:rPr>
                <w:sz w:val="20"/>
                <w:szCs w:val="20"/>
              </w:rPr>
            </w:pPr>
          </w:p>
          <w:p w14:paraId="695E08C9" w14:textId="77777777" w:rsidR="00C763A2" w:rsidRPr="00394C65" w:rsidRDefault="00C763A2" w:rsidP="00835AB2">
            <w:pPr>
              <w:jc w:val="both"/>
              <w:rPr>
                <w:sz w:val="20"/>
                <w:szCs w:val="20"/>
              </w:rPr>
            </w:pPr>
          </w:p>
          <w:p w14:paraId="2181DD5A" w14:textId="5C6FAAA0" w:rsidR="00C763A2" w:rsidRPr="00394C65" w:rsidRDefault="00C763A2" w:rsidP="00835AB2">
            <w:pPr>
              <w:jc w:val="both"/>
              <w:rPr>
                <w:sz w:val="20"/>
                <w:szCs w:val="20"/>
              </w:rPr>
            </w:pPr>
          </w:p>
        </w:tc>
      </w:tr>
      <w:tr w:rsidR="00394C65" w:rsidRPr="00394C65" w14:paraId="09D386B4" w14:textId="77777777" w:rsidTr="00650100">
        <w:tc>
          <w:tcPr>
            <w:tcW w:w="9776" w:type="dxa"/>
          </w:tcPr>
          <w:p w14:paraId="0E78B083" w14:textId="34AF8D2C" w:rsidR="003E4BC0" w:rsidRPr="00394C65" w:rsidRDefault="003E4BC0" w:rsidP="00835AB2">
            <w:pPr>
              <w:jc w:val="both"/>
              <w:rPr>
                <w:b/>
                <w:sz w:val="20"/>
                <w:szCs w:val="20"/>
              </w:rPr>
            </w:pPr>
            <w:r w:rsidRPr="00394C65">
              <w:rPr>
                <w:b/>
                <w:sz w:val="20"/>
                <w:szCs w:val="20"/>
              </w:rPr>
              <w:t xml:space="preserve">Article </w:t>
            </w:r>
            <w:r w:rsidR="00364A4C" w:rsidRPr="00394C65">
              <w:rPr>
                <w:b/>
                <w:sz w:val="20"/>
                <w:szCs w:val="20"/>
              </w:rPr>
              <w:t xml:space="preserve">11 </w:t>
            </w:r>
            <w:r w:rsidRPr="00394C65">
              <w:rPr>
                <w:b/>
                <w:sz w:val="20"/>
                <w:szCs w:val="20"/>
              </w:rPr>
              <w:t>– Portes et sorties de secours</w:t>
            </w:r>
          </w:p>
        </w:tc>
        <w:tc>
          <w:tcPr>
            <w:tcW w:w="4394" w:type="dxa"/>
          </w:tcPr>
          <w:p w14:paraId="471849C9" w14:textId="77777777" w:rsidR="003E4BC0" w:rsidRPr="00394C65" w:rsidRDefault="003E4BC0" w:rsidP="00835AB2">
            <w:pPr>
              <w:jc w:val="both"/>
              <w:rPr>
                <w:sz w:val="20"/>
                <w:szCs w:val="20"/>
              </w:rPr>
            </w:pPr>
          </w:p>
        </w:tc>
      </w:tr>
      <w:tr w:rsidR="00394C65" w:rsidRPr="00394C65" w14:paraId="5088FE77" w14:textId="77777777" w:rsidTr="00650100">
        <w:tc>
          <w:tcPr>
            <w:tcW w:w="9776" w:type="dxa"/>
          </w:tcPr>
          <w:p w14:paraId="58355621" w14:textId="0F363892" w:rsidR="00A32C0E" w:rsidRPr="00394C65" w:rsidRDefault="003E4BC0" w:rsidP="00835AB2">
            <w:pPr>
              <w:jc w:val="both"/>
              <w:rPr>
                <w:sz w:val="20"/>
                <w:szCs w:val="20"/>
              </w:rPr>
            </w:pPr>
            <w:r w:rsidRPr="00394C65">
              <w:rPr>
                <w:sz w:val="20"/>
                <w:szCs w:val="20"/>
              </w:rPr>
              <w:t>§ 1</w:t>
            </w:r>
            <w:r w:rsidR="00364A4C" w:rsidRPr="00394C65">
              <w:rPr>
                <w:sz w:val="20"/>
                <w:szCs w:val="20"/>
                <w:vertAlign w:val="superscript"/>
              </w:rPr>
              <w:t>er</w:t>
            </w:r>
            <w:r w:rsidRPr="00394C65">
              <w:rPr>
                <w:sz w:val="20"/>
                <w:szCs w:val="20"/>
              </w:rPr>
              <w:t xml:space="preserve">. </w:t>
            </w:r>
            <w:r w:rsidR="00BE76EB" w:rsidRPr="00394C65">
              <w:rPr>
                <w:sz w:val="20"/>
                <w:szCs w:val="20"/>
              </w:rPr>
              <w:t>Au moins une</w:t>
            </w:r>
            <w:r w:rsidR="00A32C0E" w:rsidRPr="00394C65">
              <w:rPr>
                <w:sz w:val="20"/>
                <w:szCs w:val="20"/>
              </w:rPr>
              <w:t xml:space="preserve"> porte d’entrée principale de l’immeuble assure un passage libre </w:t>
            </w:r>
            <w:r w:rsidR="00024E07" w:rsidRPr="00394C65">
              <w:rPr>
                <w:sz w:val="20"/>
                <w:szCs w:val="20"/>
              </w:rPr>
              <w:t xml:space="preserve">d’une largeur minimale de </w:t>
            </w:r>
            <w:r w:rsidR="00A32C0E" w:rsidRPr="00394C65">
              <w:rPr>
                <w:sz w:val="20"/>
                <w:szCs w:val="20"/>
              </w:rPr>
              <w:t>0,95 m</w:t>
            </w:r>
            <w:r w:rsidR="00364A4C" w:rsidRPr="00394C65">
              <w:rPr>
                <w:sz w:val="20"/>
                <w:szCs w:val="20"/>
              </w:rPr>
              <w:t>.</w:t>
            </w:r>
          </w:p>
          <w:p w14:paraId="1056C852" w14:textId="77777777" w:rsidR="00870BEB" w:rsidRPr="00394C65" w:rsidRDefault="00870BEB" w:rsidP="00835AB2">
            <w:pPr>
              <w:jc w:val="both"/>
              <w:rPr>
                <w:sz w:val="20"/>
                <w:szCs w:val="20"/>
              </w:rPr>
            </w:pPr>
          </w:p>
          <w:p w14:paraId="29738605" w14:textId="2E2298FC" w:rsidR="003E4BC0" w:rsidRPr="00394C65" w:rsidRDefault="00870BEB" w:rsidP="00835AB2">
            <w:pPr>
              <w:jc w:val="both"/>
              <w:rPr>
                <w:sz w:val="20"/>
                <w:szCs w:val="20"/>
              </w:rPr>
            </w:pPr>
            <w:r w:rsidRPr="00394C65">
              <w:rPr>
                <w:sz w:val="20"/>
                <w:szCs w:val="20"/>
              </w:rPr>
              <w:t>§</w:t>
            </w:r>
            <w:r w:rsidR="00364A4C" w:rsidRPr="00394C65">
              <w:rPr>
                <w:sz w:val="20"/>
                <w:szCs w:val="20"/>
              </w:rPr>
              <w:t xml:space="preserve"> </w:t>
            </w:r>
            <w:r w:rsidRPr="00394C65">
              <w:rPr>
                <w:sz w:val="20"/>
                <w:szCs w:val="20"/>
              </w:rPr>
              <w:t xml:space="preserve">2. </w:t>
            </w:r>
            <w:r w:rsidR="003E4BC0" w:rsidRPr="00394C65">
              <w:rPr>
                <w:sz w:val="20"/>
                <w:szCs w:val="20"/>
              </w:rPr>
              <w:t>Le mur situé dans le prolongement de la porte fermée, du côté de la poignée, a une longueur minimale de 0,50 m.</w:t>
            </w:r>
          </w:p>
          <w:p w14:paraId="01340633" w14:textId="77777777" w:rsidR="00364A4C" w:rsidRPr="00394C65" w:rsidRDefault="00364A4C" w:rsidP="00835AB2">
            <w:pPr>
              <w:jc w:val="both"/>
              <w:rPr>
                <w:sz w:val="20"/>
                <w:szCs w:val="20"/>
              </w:rPr>
            </w:pPr>
          </w:p>
          <w:p w14:paraId="69D116DD" w14:textId="2120C50B" w:rsidR="00A744CE" w:rsidRPr="00394C65" w:rsidRDefault="00A744CE" w:rsidP="00835AB2">
            <w:pPr>
              <w:jc w:val="both"/>
              <w:rPr>
                <w:sz w:val="20"/>
                <w:szCs w:val="20"/>
              </w:rPr>
            </w:pPr>
            <w:r w:rsidRPr="00394C65">
              <w:rPr>
                <w:sz w:val="20"/>
                <w:szCs w:val="20"/>
              </w:rPr>
              <w:t>La profondeur de dépassement du mur par rapport à la feuille de porte ne peut dépasser 25 cm.</w:t>
            </w:r>
          </w:p>
          <w:p w14:paraId="4FE94974" w14:textId="77777777" w:rsidR="003E4BC0" w:rsidRPr="00394C65" w:rsidRDefault="003E4BC0" w:rsidP="00835AB2">
            <w:pPr>
              <w:jc w:val="both"/>
              <w:rPr>
                <w:sz w:val="20"/>
                <w:szCs w:val="20"/>
              </w:rPr>
            </w:pPr>
          </w:p>
          <w:p w14:paraId="62D6C527" w14:textId="29ACD9F8" w:rsidR="003E4BC0" w:rsidRPr="00394C65" w:rsidRDefault="003E4BC0" w:rsidP="00835AB2">
            <w:pPr>
              <w:jc w:val="both"/>
              <w:rPr>
                <w:sz w:val="20"/>
                <w:szCs w:val="20"/>
              </w:rPr>
            </w:pPr>
            <w:r w:rsidRPr="00394C65">
              <w:rPr>
                <w:sz w:val="20"/>
                <w:szCs w:val="20"/>
              </w:rPr>
              <w:t xml:space="preserve">§ </w:t>
            </w:r>
            <w:r w:rsidR="00870BEB" w:rsidRPr="00394C65">
              <w:rPr>
                <w:sz w:val="20"/>
                <w:szCs w:val="20"/>
              </w:rPr>
              <w:t>3</w:t>
            </w:r>
            <w:r w:rsidRPr="00394C65">
              <w:rPr>
                <w:sz w:val="20"/>
                <w:szCs w:val="20"/>
              </w:rPr>
              <w:t xml:space="preserve">. </w:t>
            </w:r>
            <w:r w:rsidR="00AB35CB" w:rsidRPr="00394C65">
              <w:rPr>
                <w:sz w:val="20"/>
                <w:szCs w:val="20"/>
              </w:rPr>
              <w:t xml:space="preserve">Au moins une </w:t>
            </w:r>
            <w:r w:rsidRPr="00394C65">
              <w:rPr>
                <w:sz w:val="20"/>
                <w:szCs w:val="20"/>
              </w:rPr>
              <w:t xml:space="preserve">porte d’entrée </w:t>
            </w:r>
            <w:r w:rsidR="00AB35CB" w:rsidRPr="00394C65">
              <w:rPr>
                <w:sz w:val="20"/>
                <w:szCs w:val="20"/>
              </w:rPr>
              <w:t xml:space="preserve">principale de l’immeuble </w:t>
            </w:r>
            <w:r w:rsidRPr="00394C65">
              <w:rPr>
                <w:sz w:val="20"/>
                <w:szCs w:val="20"/>
              </w:rPr>
              <w:t>est battante, à va-et-vient ou coulissante.</w:t>
            </w:r>
            <w:r w:rsidR="00761DBD" w:rsidRPr="00394C65">
              <w:rPr>
                <w:sz w:val="20"/>
                <w:szCs w:val="20"/>
              </w:rPr>
              <w:t xml:space="preserve"> </w:t>
            </w:r>
            <w:r w:rsidRPr="00394C65">
              <w:rPr>
                <w:sz w:val="20"/>
                <w:szCs w:val="20"/>
              </w:rPr>
              <w:t>Son franchissement est de plain-pied.</w:t>
            </w:r>
          </w:p>
          <w:p w14:paraId="51E8DC51" w14:textId="77777777" w:rsidR="00761DBD" w:rsidRPr="00394C65" w:rsidRDefault="00761DBD" w:rsidP="00835AB2">
            <w:pPr>
              <w:jc w:val="both"/>
              <w:rPr>
                <w:sz w:val="20"/>
                <w:szCs w:val="20"/>
              </w:rPr>
            </w:pPr>
          </w:p>
          <w:p w14:paraId="645666BF" w14:textId="5C32F75C" w:rsidR="003E4BC0" w:rsidRPr="00394C65" w:rsidRDefault="003E4BC0" w:rsidP="00835AB2">
            <w:pPr>
              <w:jc w:val="both"/>
              <w:rPr>
                <w:sz w:val="20"/>
                <w:szCs w:val="20"/>
              </w:rPr>
            </w:pPr>
            <w:r w:rsidRPr="00394C65">
              <w:rPr>
                <w:sz w:val="20"/>
                <w:szCs w:val="20"/>
              </w:rPr>
              <w:t>Lorsqu’elle est équipée d’un seuil pour des raisons techniques, son ressaut ne dépasse pas 2 cm et est biseauté à 30° maximum.</w:t>
            </w:r>
          </w:p>
          <w:p w14:paraId="562F623F" w14:textId="77777777" w:rsidR="005050B3" w:rsidRPr="00394C65" w:rsidRDefault="005050B3" w:rsidP="00835AB2">
            <w:pPr>
              <w:jc w:val="both"/>
              <w:rPr>
                <w:sz w:val="20"/>
                <w:szCs w:val="20"/>
              </w:rPr>
            </w:pPr>
          </w:p>
          <w:p w14:paraId="5888F005" w14:textId="0A5FBA3D" w:rsidR="003E4BC0" w:rsidRPr="00394C65" w:rsidRDefault="00A744CE" w:rsidP="00835AB2">
            <w:pPr>
              <w:jc w:val="both"/>
              <w:rPr>
                <w:sz w:val="20"/>
                <w:szCs w:val="20"/>
              </w:rPr>
            </w:pPr>
            <w:r w:rsidRPr="00394C65">
              <w:rPr>
                <w:sz w:val="20"/>
                <w:szCs w:val="20"/>
              </w:rPr>
              <w:lastRenderedPageBreak/>
              <w:t>§</w:t>
            </w:r>
            <w:r w:rsidR="00761DBD" w:rsidRPr="00394C65">
              <w:rPr>
                <w:sz w:val="20"/>
                <w:szCs w:val="20"/>
              </w:rPr>
              <w:t xml:space="preserve"> </w:t>
            </w:r>
            <w:r w:rsidR="00870BEB" w:rsidRPr="00394C65">
              <w:rPr>
                <w:sz w:val="20"/>
                <w:szCs w:val="20"/>
              </w:rPr>
              <w:t>4</w:t>
            </w:r>
            <w:r w:rsidRPr="00394C65">
              <w:rPr>
                <w:sz w:val="20"/>
                <w:szCs w:val="20"/>
              </w:rPr>
              <w:t xml:space="preserve">. </w:t>
            </w:r>
            <w:r w:rsidR="003E4BC0" w:rsidRPr="00394C65">
              <w:rPr>
                <w:sz w:val="20"/>
                <w:szCs w:val="20"/>
              </w:rPr>
              <w:t xml:space="preserve">Si la porte </w:t>
            </w:r>
            <w:r w:rsidRPr="00394C65">
              <w:rPr>
                <w:sz w:val="20"/>
                <w:szCs w:val="20"/>
              </w:rPr>
              <w:t xml:space="preserve">d’entrée </w:t>
            </w:r>
            <w:r w:rsidR="003E4BC0" w:rsidRPr="00394C65">
              <w:rPr>
                <w:sz w:val="20"/>
                <w:szCs w:val="20"/>
              </w:rPr>
              <w:t xml:space="preserve">est manuelle, un espace de 50 cm au minimum du côté de la poignée doit être prévu afin de permettre aux personnes utilisant une aide technique de l’atteindre malgré l’encombrement de celle-ci. </w:t>
            </w:r>
          </w:p>
          <w:p w14:paraId="61B097B5" w14:textId="1F107C88" w:rsidR="003E4BC0" w:rsidRPr="00394C65" w:rsidRDefault="003E4BC0" w:rsidP="00835AB2">
            <w:pPr>
              <w:jc w:val="both"/>
              <w:rPr>
                <w:sz w:val="20"/>
                <w:szCs w:val="20"/>
              </w:rPr>
            </w:pPr>
          </w:p>
          <w:p w14:paraId="4555C4F4" w14:textId="5A291860" w:rsidR="00A744CE" w:rsidRPr="00394C65" w:rsidRDefault="00A744CE" w:rsidP="00835AB2">
            <w:pPr>
              <w:jc w:val="both"/>
              <w:rPr>
                <w:sz w:val="20"/>
                <w:szCs w:val="20"/>
              </w:rPr>
            </w:pPr>
            <w:r w:rsidRPr="00394C65">
              <w:rPr>
                <w:sz w:val="20"/>
                <w:szCs w:val="20"/>
              </w:rPr>
              <w:t xml:space="preserve">§ </w:t>
            </w:r>
            <w:r w:rsidR="00870BEB" w:rsidRPr="00394C65">
              <w:rPr>
                <w:sz w:val="20"/>
                <w:szCs w:val="20"/>
              </w:rPr>
              <w:t>5</w:t>
            </w:r>
            <w:r w:rsidR="003E4BC0" w:rsidRPr="00394C65">
              <w:rPr>
                <w:sz w:val="20"/>
                <w:szCs w:val="20"/>
              </w:rPr>
              <w:t xml:space="preserve">. Toute porte située dans le prolongement de la porte d’entrée, dont le franchissement est nécessaire afin d’accéder à l’immeuble, ainsi que toute porte qui donne accès une destination distincte ou à un logement privatif à l’intérieur de celui-ci, répond aux conditions visées par cet article. </w:t>
            </w:r>
          </w:p>
        </w:tc>
        <w:tc>
          <w:tcPr>
            <w:tcW w:w="4394" w:type="dxa"/>
          </w:tcPr>
          <w:p w14:paraId="170EC5D9" w14:textId="77777777" w:rsidR="003E4BC0" w:rsidRPr="00394C65" w:rsidRDefault="005C3BF4" w:rsidP="00835AB2">
            <w:pPr>
              <w:jc w:val="both"/>
              <w:rPr>
                <w:sz w:val="20"/>
                <w:szCs w:val="20"/>
              </w:rPr>
            </w:pPr>
            <w:r w:rsidRPr="00394C65">
              <w:rPr>
                <w:sz w:val="20"/>
                <w:szCs w:val="20"/>
              </w:rPr>
              <w:lastRenderedPageBreak/>
              <w:t xml:space="preserve">Le titre III du RRU prévoit les dimensions de libre passage suffisantes des portes : celles-ci doivent assurer un passage libre d’une largeur minimale de 0.95 m. </w:t>
            </w:r>
          </w:p>
          <w:p w14:paraId="1F031F24" w14:textId="77777777" w:rsidR="00B92E4C" w:rsidRPr="00394C65" w:rsidRDefault="00B92E4C" w:rsidP="00835AB2">
            <w:pPr>
              <w:jc w:val="both"/>
              <w:rPr>
                <w:sz w:val="20"/>
                <w:szCs w:val="20"/>
              </w:rPr>
            </w:pPr>
          </w:p>
          <w:p w14:paraId="6D74F063" w14:textId="77777777" w:rsidR="00B92E4C" w:rsidRPr="00394C65" w:rsidRDefault="00B92E4C" w:rsidP="00835AB2">
            <w:pPr>
              <w:jc w:val="both"/>
              <w:rPr>
                <w:sz w:val="20"/>
                <w:szCs w:val="20"/>
              </w:rPr>
            </w:pPr>
          </w:p>
          <w:p w14:paraId="698D4D0B" w14:textId="77777777" w:rsidR="00B92E4C" w:rsidRPr="00394C65" w:rsidRDefault="00B92E4C" w:rsidP="00835AB2">
            <w:pPr>
              <w:jc w:val="both"/>
              <w:rPr>
                <w:sz w:val="20"/>
                <w:szCs w:val="20"/>
              </w:rPr>
            </w:pPr>
          </w:p>
          <w:p w14:paraId="3BFE50F0" w14:textId="77777777" w:rsidR="00B92E4C" w:rsidRPr="00394C65" w:rsidRDefault="00B92E4C" w:rsidP="00835AB2">
            <w:pPr>
              <w:jc w:val="both"/>
              <w:rPr>
                <w:sz w:val="20"/>
                <w:szCs w:val="20"/>
              </w:rPr>
            </w:pPr>
          </w:p>
          <w:p w14:paraId="48360813" w14:textId="77777777" w:rsidR="00B92E4C" w:rsidRPr="00394C65" w:rsidRDefault="00B92E4C" w:rsidP="00835AB2">
            <w:pPr>
              <w:jc w:val="both"/>
              <w:rPr>
                <w:sz w:val="20"/>
                <w:szCs w:val="20"/>
              </w:rPr>
            </w:pPr>
          </w:p>
          <w:p w14:paraId="532176BF" w14:textId="77777777" w:rsidR="00B92E4C" w:rsidRPr="00394C65" w:rsidRDefault="00B92E4C" w:rsidP="00835AB2">
            <w:pPr>
              <w:jc w:val="both"/>
              <w:rPr>
                <w:sz w:val="20"/>
                <w:szCs w:val="20"/>
              </w:rPr>
            </w:pPr>
          </w:p>
          <w:p w14:paraId="24C51AA4" w14:textId="77777777" w:rsidR="00B92E4C" w:rsidRPr="00394C65" w:rsidRDefault="00B92E4C" w:rsidP="00835AB2">
            <w:pPr>
              <w:jc w:val="both"/>
              <w:rPr>
                <w:sz w:val="20"/>
                <w:szCs w:val="20"/>
              </w:rPr>
            </w:pPr>
          </w:p>
          <w:p w14:paraId="4B72C499" w14:textId="77777777" w:rsidR="00B92E4C" w:rsidRPr="00394C65" w:rsidRDefault="00B92E4C" w:rsidP="00835AB2">
            <w:pPr>
              <w:jc w:val="both"/>
              <w:rPr>
                <w:sz w:val="20"/>
                <w:szCs w:val="20"/>
              </w:rPr>
            </w:pPr>
          </w:p>
          <w:p w14:paraId="7CEE9373" w14:textId="77777777" w:rsidR="00B92E4C" w:rsidRPr="00394C65" w:rsidRDefault="00B92E4C" w:rsidP="00835AB2">
            <w:pPr>
              <w:jc w:val="both"/>
              <w:rPr>
                <w:sz w:val="20"/>
                <w:szCs w:val="20"/>
              </w:rPr>
            </w:pPr>
          </w:p>
          <w:p w14:paraId="5AD37164" w14:textId="77777777" w:rsidR="00B92E4C" w:rsidRPr="00394C65" w:rsidRDefault="00B92E4C" w:rsidP="00835AB2">
            <w:pPr>
              <w:jc w:val="both"/>
              <w:rPr>
                <w:sz w:val="20"/>
                <w:szCs w:val="20"/>
              </w:rPr>
            </w:pPr>
          </w:p>
          <w:p w14:paraId="52F3F14C" w14:textId="77777777" w:rsidR="00B92E4C" w:rsidRPr="00394C65" w:rsidRDefault="00B92E4C" w:rsidP="00835AB2">
            <w:pPr>
              <w:jc w:val="both"/>
              <w:rPr>
                <w:sz w:val="20"/>
                <w:szCs w:val="20"/>
              </w:rPr>
            </w:pPr>
          </w:p>
          <w:p w14:paraId="4D7A49A0" w14:textId="77777777" w:rsidR="00B92E4C" w:rsidRPr="00394C65" w:rsidRDefault="00B92E4C" w:rsidP="00835AB2">
            <w:pPr>
              <w:jc w:val="both"/>
              <w:rPr>
                <w:sz w:val="20"/>
                <w:szCs w:val="20"/>
              </w:rPr>
            </w:pPr>
          </w:p>
          <w:p w14:paraId="0671A30E" w14:textId="212CD1C0" w:rsidR="00B92E4C" w:rsidRPr="00394C65" w:rsidRDefault="00B92E4C" w:rsidP="00835AB2">
            <w:pPr>
              <w:jc w:val="both"/>
              <w:rPr>
                <w:sz w:val="20"/>
                <w:szCs w:val="20"/>
              </w:rPr>
            </w:pPr>
          </w:p>
        </w:tc>
      </w:tr>
      <w:tr w:rsidR="00394C65" w:rsidRPr="00394C65" w14:paraId="5D2755B6" w14:textId="77777777" w:rsidTr="00650100">
        <w:tc>
          <w:tcPr>
            <w:tcW w:w="9776" w:type="dxa"/>
          </w:tcPr>
          <w:p w14:paraId="3A9D95F5" w14:textId="7A973EAD" w:rsidR="003E4BC0" w:rsidRPr="00394C65" w:rsidRDefault="00AE217B" w:rsidP="00AE217B">
            <w:pPr>
              <w:jc w:val="both"/>
              <w:rPr>
                <w:sz w:val="20"/>
                <w:szCs w:val="20"/>
              </w:rPr>
            </w:pPr>
            <w:r w:rsidRPr="00394C65">
              <w:rPr>
                <w:b/>
                <w:sz w:val="20"/>
                <w:szCs w:val="20"/>
              </w:rPr>
              <w:lastRenderedPageBreak/>
              <w:t xml:space="preserve">Section </w:t>
            </w:r>
            <w:r w:rsidR="006A4DE2" w:rsidRPr="00394C65">
              <w:rPr>
                <w:b/>
                <w:sz w:val="20"/>
                <w:szCs w:val="20"/>
              </w:rPr>
              <w:t>4</w:t>
            </w:r>
            <w:r w:rsidR="006F5947" w:rsidRPr="00394C65">
              <w:rPr>
                <w:b/>
                <w:sz w:val="20"/>
                <w:szCs w:val="20"/>
              </w:rPr>
              <w:t xml:space="preserve"> : </w:t>
            </w:r>
            <w:r w:rsidRPr="00394C65">
              <w:rPr>
                <w:b/>
                <w:sz w:val="20"/>
                <w:szCs w:val="20"/>
              </w:rPr>
              <w:t xml:space="preserve">Circulation intérieure dans les bâtiments </w:t>
            </w:r>
          </w:p>
        </w:tc>
        <w:tc>
          <w:tcPr>
            <w:tcW w:w="4394" w:type="dxa"/>
          </w:tcPr>
          <w:p w14:paraId="4A8EA39B" w14:textId="09B4C67D" w:rsidR="003E4BC0" w:rsidRPr="00394C65" w:rsidRDefault="003E4BC0" w:rsidP="00835AB2">
            <w:pPr>
              <w:jc w:val="both"/>
              <w:rPr>
                <w:sz w:val="20"/>
                <w:szCs w:val="20"/>
              </w:rPr>
            </w:pPr>
          </w:p>
        </w:tc>
      </w:tr>
      <w:tr w:rsidR="00394C65" w:rsidRPr="00394C65" w14:paraId="6AF07638" w14:textId="77777777" w:rsidTr="00650100">
        <w:tc>
          <w:tcPr>
            <w:tcW w:w="9776" w:type="dxa"/>
          </w:tcPr>
          <w:p w14:paraId="01DA8B04" w14:textId="5B027A1A" w:rsidR="003E4BC0" w:rsidRPr="00394C65" w:rsidRDefault="00082C54" w:rsidP="00835AB2">
            <w:pPr>
              <w:jc w:val="both"/>
              <w:rPr>
                <w:b/>
                <w:sz w:val="20"/>
                <w:szCs w:val="20"/>
              </w:rPr>
            </w:pPr>
            <w:r w:rsidRPr="00394C65">
              <w:rPr>
                <w:b/>
                <w:sz w:val="20"/>
                <w:szCs w:val="20"/>
              </w:rPr>
              <w:t xml:space="preserve">Article </w:t>
            </w:r>
            <w:r w:rsidR="00024E07" w:rsidRPr="00394C65">
              <w:rPr>
                <w:b/>
                <w:sz w:val="20"/>
                <w:szCs w:val="20"/>
              </w:rPr>
              <w:t xml:space="preserve">12 </w:t>
            </w:r>
            <w:r w:rsidRPr="00394C65">
              <w:rPr>
                <w:b/>
                <w:sz w:val="20"/>
                <w:szCs w:val="20"/>
              </w:rPr>
              <w:t>- Couloirs et sas</w:t>
            </w:r>
          </w:p>
        </w:tc>
        <w:tc>
          <w:tcPr>
            <w:tcW w:w="4394" w:type="dxa"/>
          </w:tcPr>
          <w:p w14:paraId="3813CEC7" w14:textId="0BE48D99" w:rsidR="003E4BC0" w:rsidRPr="00394C65" w:rsidRDefault="003E4BC0" w:rsidP="00835AB2">
            <w:pPr>
              <w:jc w:val="both"/>
              <w:rPr>
                <w:sz w:val="20"/>
                <w:szCs w:val="20"/>
              </w:rPr>
            </w:pPr>
          </w:p>
        </w:tc>
      </w:tr>
      <w:tr w:rsidR="00394C65" w:rsidRPr="00394C65" w14:paraId="2522B931" w14:textId="77777777" w:rsidTr="00650100">
        <w:tc>
          <w:tcPr>
            <w:tcW w:w="9776" w:type="dxa"/>
          </w:tcPr>
          <w:p w14:paraId="7A4BD154" w14:textId="400E7B34" w:rsidR="00024E07" w:rsidRPr="00394C65" w:rsidRDefault="00BE76EB" w:rsidP="00835AB2">
            <w:pPr>
              <w:jc w:val="both"/>
              <w:rPr>
                <w:sz w:val="20"/>
                <w:szCs w:val="20"/>
              </w:rPr>
            </w:pPr>
            <w:r w:rsidRPr="00394C65">
              <w:rPr>
                <w:sz w:val="20"/>
                <w:szCs w:val="20"/>
              </w:rPr>
              <w:t>L</w:t>
            </w:r>
            <w:r w:rsidR="006137B7" w:rsidRPr="00394C65">
              <w:rPr>
                <w:sz w:val="20"/>
                <w:szCs w:val="20"/>
              </w:rPr>
              <w:t xml:space="preserve">es couloirs intérieurs </w:t>
            </w:r>
            <w:r w:rsidR="00024E07" w:rsidRPr="00394C65">
              <w:rPr>
                <w:sz w:val="20"/>
                <w:szCs w:val="20"/>
              </w:rPr>
              <w:t>assurent un passage libre d’</w:t>
            </w:r>
            <w:r w:rsidR="006137B7" w:rsidRPr="00394C65">
              <w:rPr>
                <w:sz w:val="20"/>
                <w:szCs w:val="20"/>
              </w:rPr>
              <w:t>une largeur minimale de 1,50 m</w:t>
            </w:r>
            <w:r w:rsidR="00024E07" w:rsidRPr="00394C65">
              <w:rPr>
                <w:sz w:val="20"/>
                <w:szCs w:val="20"/>
              </w:rPr>
              <w:t>.</w:t>
            </w:r>
          </w:p>
          <w:p w14:paraId="0ADD901E" w14:textId="65BC0D01" w:rsidR="006137B7" w:rsidRPr="00394C65" w:rsidRDefault="006137B7" w:rsidP="00835AB2">
            <w:pPr>
              <w:jc w:val="both"/>
              <w:rPr>
                <w:sz w:val="20"/>
                <w:szCs w:val="20"/>
              </w:rPr>
            </w:pPr>
            <w:r w:rsidRPr="00394C65">
              <w:rPr>
                <w:sz w:val="20"/>
                <w:szCs w:val="20"/>
              </w:rPr>
              <w:t xml:space="preserve"> </w:t>
            </w:r>
          </w:p>
          <w:p w14:paraId="70EE7A94" w14:textId="77777777" w:rsidR="006137B7" w:rsidRPr="00394C65" w:rsidRDefault="006137B7" w:rsidP="00835AB2">
            <w:pPr>
              <w:jc w:val="both"/>
              <w:rPr>
                <w:sz w:val="20"/>
                <w:szCs w:val="20"/>
              </w:rPr>
            </w:pPr>
            <w:r w:rsidRPr="00394C65">
              <w:rPr>
                <w:sz w:val="20"/>
                <w:szCs w:val="20"/>
              </w:rPr>
              <w:t>Cette largeur peut être réduite à :</w:t>
            </w:r>
          </w:p>
          <w:p w14:paraId="07E17C00" w14:textId="730B418C" w:rsidR="006137B7" w:rsidRPr="00394C65" w:rsidRDefault="006137B7" w:rsidP="00835AB2">
            <w:pPr>
              <w:pStyle w:val="ListParagraph"/>
              <w:numPr>
                <w:ilvl w:val="0"/>
                <w:numId w:val="35"/>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1,20 m sur une longueur maximale de 15 m s’il n’y a aucun changement de direction</w:t>
            </w:r>
            <w:r w:rsidR="00024E07" w:rsidRPr="00394C65">
              <w:rPr>
                <w:rFonts w:ascii="Times New Roman" w:eastAsia="Times New Roman" w:hAnsi="Times New Roman" w:cs="Times New Roman"/>
                <w:sz w:val="20"/>
                <w:szCs w:val="20"/>
                <w:lang w:eastAsia="fr-FR"/>
              </w:rPr>
              <w:t>,</w:t>
            </w:r>
            <w:r w:rsidRPr="00394C65">
              <w:rPr>
                <w:rFonts w:ascii="Times New Roman" w:eastAsia="Times New Roman" w:hAnsi="Times New Roman" w:cs="Times New Roman"/>
                <w:sz w:val="20"/>
                <w:szCs w:val="20"/>
                <w:lang w:eastAsia="fr-FR"/>
              </w:rPr>
              <w:t xml:space="preserve"> ni aucune porte sur cette distance ;</w:t>
            </w:r>
          </w:p>
          <w:p w14:paraId="705EC5C4" w14:textId="420E8B8A" w:rsidR="006137B7" w:rsidRPr="00394C65" w:rsidRDefault="006137B7" w:rsidP="00835AB2">
            <w:pPr>
              <w:pStyle w:val="ListParagraph"/>
              <w:numPr>
                <w:ilvl w:val="0"/>
                <w:numId w:val="35"/>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0,90 m au droit d’un obstacle </w:t>
            </w:r>
            <w:r w:rsidR="00024E07" w:rsidRPr="00394C65">
              <w:rPr>
                <w:rFonts w:ascii="Times New Roman" w:eastAsia="Times New Roman" w:hAnsi="Times New Roman" w:cs="Times New Roman"/>
                <w:sz w:val="20"/>
                <w:szCs w:val="20"/>
                <w:lang w:eastAsia="fr-FR"/>
              </w:rPr>
              <w:t xml:space="preserve">isolé </w:t>
            </w:r>
            <w:r w:rsidRPr="00394C65">
              <w:rPr>
                <w:rFonts w:ascii="Times New Roman" w:eastAsia="Times New Roman" w:hAnsi="Times New Roman" w:cs="Times New Roman"/>
                <w:sz w:val="20"/>
                <w:szCs w:val="20"/>
                <w:lang w:eastAsia="fr-FR"/>
              </w:rPr>
              <w:t xml:space="preserve">si la longueur de celui-ci ne dépasse pas 0,50 m et s’il n’y a pas d’autre obstacle à moins de 1,50 m. </w:t>
            </w:r>
          </w:p>
          <w:p w14:paraId="3B5C6AD0" w14:textId="7ED5F220" w:rsidR="006137B7" w:rsidRPr="00394C65" w:rsidRDefault="006137B7" w:rsidP="00835AB2">
            <w:pPr>
              <w:jc w:val="both"/>
              <w:rPr>
                <w:sz w:val="20"/>
                <w:szCs w:val="20"/>
              </w:rPr>
            </w:pPr>
          </w:p>
          <w:p w14:paraId="4B883BAE" w14:textId="16B1F63D" w:rsidR="003E4BC0" w:rsidRPr="00394C65" w:rsidRDefault="003E4BC0" w:rsidP="00835AB2">
            <w:pPr>
              <w:jc w:val="both"/>
              <w:rPr>
                <w:sz w:val="20"/>
                <w:szCs w:val="20"/>
              </w:rPr>
            </w:pPr>
          </w:p>
        </w:tc>
        <w:tc>
          <w:tcPr>
            <w:tcW w:w="4394" w:type="dxa"/>
          </w:tcPr>
          <w:p w14:paraId="7C31DF79" w14:textId="5E313355" w:rsidR="00237CBD" w:rsidRPr="00394C65" w:rsidRDefault="00FF792E" w:rsidP="00835AB2">
            <w:pPr>
              <w:jc w:val="both"/>
              <w:rPr>
                <w:sz w:val="20"/>
                <w:szCs w:val="20"/>
              </w:rPr>
            </w:pPr>
            <w:r w:rsidRPr="00394C65">
              <w:rPr>
                <w:sz w:val="20"/>
                <w:szCs w:val="20"/>
              </w:rPr>
              <w:t xml:space="preserve">Remarque : </w:t>
            </w:r>
            <w:r w:rsidR="00AB35CB" w:rsidRPr="00394C65">
              <w:rPr>
                <w:sz w:val="20"/>
                <w:szCs w:val="20"/>
              </w:rPr>
              <w:t xml:space="preserve">La différence entre la largeur du couloir et largeur de passage libre est liée à la nécessité  de placer des </w:t>
            </w:r>
            <w:r w:rsidR="00237CBD" w:rsidRPr="00394C65">
              <w:rPr>
                <w:sz w:val="20"/>
                <w:szCs w:val="20"/>
              </w:rPr>
              <w:t xml:space="preserve">mains-courantes pour assurer aux </w:t>
            </w:r>
            <w:r w:rsidR="00916AF1" w:rsidRPr="00394C65">
              <w:rPr>
                <w:sz w:val="20"/>
                <w:szCs w:val="20"/>
              </w:rPr>
              <w:t xml:space="preserve">personnes à mobilité réduite </w:t>
            </w:r>
            <w:r w:rsidR="00237CBD" w:rsidRPr="00394C65">
              <w:rPr>
                <w:sz w:val="20"/>
                <w:szCs w:val="20"/>
              </w:rPr>
              <w:t>un appui, une stabilité et un guidage. Les mains-courantes sont nécessaires dans les escaliers, les rampes, les couloirs, les ascenseurs, les escalators et les tapis roulants.</w:t>
            </w:r>
            <w:r w:rsidR="00AB35CB" w:rsidRPr="00394C65">
              <w:rPr>
                <w:sz w:val="20"/>
                <w:szCs w:val="20"/>
              </w:rPr>
              <w:t xml:space="preserve"> Il y a lieu d’en tenir compte pour adapter la largeur effective du couloir ou sas. </w:t>
            </w:r>
          </w:p>
          <w:p w14:paraId="446656F4" w14:textId="5E75EB49" w:rsidR="00237CBD" w:rsidRPr="00394C65" w:rsidRDefault="00237CBD" w:rsidP="009D7352">
            <w:pPr>
              <w:pStyle w:val="ListParagraph"/>
              <w:numPr>
                <w:ilvl w:val="0"/>
                <w:numId w:val="13"/>
              </w:numPr>
              <w:spacing w:after="0" w:line="240" w:lineRule="auto"/>
              <w:jc w:val="both"/>
              <w:rPr>
                <w:sz w:val="20"/>
                <w:szCs w:val="20"/>
              </w:rPr>
            </w:pPr>
          </w:p>
        </w:tc>
      </w:tr>
      <w:tr w:rsidR="00394C65" w:rsidRPr="00394C65" w14:paraId="71D8FC75" w14:textId="77777777" w:rsidTr="00650100">
        <w:tc>
          <w:tcPr>
            <w:tcW w:w="9776" w:type="dxa"/>
          </w:tcPr>
          <w:p w14:paraId="647975BD" w14:textId="7A3DC677" w:rsidR="003E1EE5" w:rsidRPr="00394C65" w:rsidRDefault="003E4BC0" w:rsidP="00835AB2">
            <w:pPr>
              <w:jc w:val="both"/>
              <w:rPr>
                <w:b/>
                <w:sz w:val="20"/>
                <w:szCs w:val="20"/>
              </w:rPr>
            </w:pPr>
            <w:r w:rsidRPr="00394C65">
              <w:rPr>
                <w:b/>
                <w:sz w:val="20"/>
                <w:szCs w:val="20"/>
              </w:rPr>
              <w:t xml:space="preserve">Article </w:t>
            </w:r>
            <w:r w:rsidR="000D141D" w:rsidRPr="00394C65">
              <w:rPr>
                <w:b/>
                <w:sz w:val="20"/>
                <w:szCs w:val="20"/>
              </w:rPr>
              <w:t xml:space="preserve">13 </w:t>
            </w:r>
            <w:r w:rsidRPr="00394C65">
              <w:rPr>
                <w:b/>
                <w:sz w:val="20"/>
                <w:szCs w:val="20"/>
              </w:rPr>
              <w:t xml:space="preserve">- Portes intérieures </w:t>
            </w:r>
          </w:p>
        </w:tc>
        <w:tc>
          <w:tcPr>
            <w:tcW w:w="4394" w:type="dxa"/>
          </w:tcPr>
          <w:p w14:paraId="22A6BE23" w14:textId="77777777" w:rsidR="003E4BC0" w:rsidRPr="00394C65" w:rsidRDefault="003E4BC0" w:rsidP="00835AB2">
            <w:pPr>
              <w:jc w:val="both"/>
              <w:rPr>
                <w:sz w:val="20"/>
                <w:szCs w:val="20"/>
              </w:rPr>
            </w:pPr>
          </w:p>
        </w:tc>
      </w:tr>
      <w:tr w:rsidR="00394C65" w:rsidRPr="00394C65" w14:paraId="31CF7209" w14:textId="77777777" w:rsidTr="00650100">
        <w:tc>
          <w:tcPr>
            <w:tcW w:w="9776" w:type="dxa"/>
          </w:tcPr>
          <w:p w14:paraId="67497F3B" w14:textId="6B7F36C7" w:rsidR="00870BEB" w:rsidRPr="00394C65" w:rsidRDefault="00870BEB" w:rsidP="00835AB2">
            <w:pPr>
              <w:jc w:val="both"/>
              <w:rPr>
                <w:sz w:val="20"/>
                <w:szCs w:val="20"/>
              </w:rPr>
            </w:pPr>
            <w:r w:rsidRPr="00394C65">
              <w:rPr>
                <w:sz w:val="20"/>
                <w:szCs w:val="20"/>
              </w:rPr>
              <w:t>Les portes intérieurs assurent un passage libre minimal d’une largeur de 0,85 m</w:t>
            </w:r>
            <w:r w:rsidR="00024E07" w:rsidRPr="00394C65">
              <w:rPr>
                <w:sz w:val="20"/>
                <w:szCs w:val="20"/>
              </w:rPr>
              <w:t>.</w:t>
            </w:r>
          </w:p>
          <w:p w14:paraId="1FA624D5" w14:textId="77777777" w:rsidR="00761DBD" w:rsidRPr="00394C65" w:rsidRDefault="00761DBD" w:rsidP="00835AB2">
            <w:pPr>
              <w:jc w:val="both"/>
              <w:rPr>
                <w:sz w:val="20"/>
                <w:szCs w:val="20"/>
              </w:rPr>
            </w:pPr>
          </w:p>
          <w:p w14:paraId="562D5B50" w14:textId="1AE4FBEF" w:rsidR="003E4BC0" w:rsidRPr="00394C65" w:rsidRDefault="003E4BC0" w:rsidP="009D7352">
            <w:pPr>
              <w:jc w:val="both"/>
              <w:rPr>
                <w:sz w:val="20"/>
                <w:szCs w:val="20"/>
              </w:rPr>
            </w:pPr>
            <w:r w:rsidRPr="00394C65">
              <w:rPr>
                <w:sz w:val="20"/>
                <w:szCs w:val="20"/>
              </w:rPr>
              <w:t xml:space="preserve">Les portes intérieurs </w:t>
            </w:r>
            <w:r w:rsidR="009D7352" w:rsidRPr="00394C65">
              <w:rPr>
                <w:sz w:val="20"/>
                <w:szCs w:val="20"/>
              </w:rPr>
              <w:t xml:space="preserve">respectent les </w:t>
            </w:r>
            <w:r w:rsidRPr="00394C65">
              <w:rPr>
                <w:sz w:val="20"/>
                <w:szCs w:val="20"/>
              </w:rPr>
              <w:t xml:space="preserve">conditions </w:t>
            </w:r>
            <w:r w:rsidR="00870BEB" w:rsidRPr="00394C65">
              <w:rPr>
                <w:sz w:val="20"/>
                <w:szCs w:val="20"/>
              </w:rPr>
              <w:t xml:space="preserve">visées </w:t>
            </w:r>
            <w:r w:rsidR="009D7352" w:rsidRPr="00394C65">
              <w:rPr>
                <w:sz w:val="20"/>
                <w:szCs w:val="20"/>
              </w:rPr>
              <w:t>à l’article 11, §</w:t>
            </w:r>
            <w:r w:rsidR="00870BEB" w:rsidRPr="00394C65">
              <w:rPr>
                <w:sz w:val="20"/>
                <w:szCs w:val="20"/>
              </w:rPr>
              <w:t>§</w:t>
            </w:r>
            <w:r w:rsidR="009D7352" w:rsidRPr="00394C65">
              <w:rPr>
                <w:sz w:val="20"/>
                <w:szCs w:val="20"/>
              </w:rPr>
              <w:t xml:space="preserve"> </w:t>
            </w:r>
            <w:r w:rsidR="00870BEB" w:rsidRPr="00394C65">
              <w:rPr>
                <w:sz w:val="20"/>
                <w:szCs w:val="20"/>
              </w:rPr>
              <w:t xml:space="preserve">2 à </w:t>
            </w:r>
            <w:r w:rsidR="00AB35CB" w:rsidRPr="00394C65">
              <w:rPr>
                <w:sz w:val="20"/>
                <w:szCs w:val="20"/>
              </w:rPr>
              <w:t>4</w:t>
            </w:r>
            <w:r w:rsidR="00870BEB" w:rsidRPr="00394C65">
              <w:rPr>
                <w:sz w:val="20"/>
                <w:szCs w:val="20"/>
              </w:rPr>
              <w:t>.</w:t>
            </w:r>
          </w:p>
        </w:tc>
        <w:tc>
          <w:tcPr>
            <w:tcW w:w="4394" w:type="dxa"/>
          </w:tcPr>
          <w:p w14:paraId="0BEF143C" w14:textId="77777777" w:rsidR="003E4BC0" w:rsidRPr="00394C65" w:rsidRDefault="003E4BC0" w:rsidP="00835AB2">
            <w:pPr>
              <w:jc w:val="both"/>
              <w:rPr>
                <w:sz w:val="20"/>
                <w:szCs w:val="20"/>
              </w:rPr>
            </w:pPr>
          </w:p>
          <w:p w14:paraId="251500E1" w14:textId="2EC6222C" w:rsidR="00AF25AA" w:rsidRPr="00394C65" w:rsidRDefault="00AF25AA" w:rsidP="00835AB2">
            <w:pPr>
              <w:jc w:val="both"/>
              <w:rPr>
                <w:sz w:val="20"/>
                <w:szCs w:val="20"/>
              </w:rPr>
            </w:pPr>
          </w:p>
        </w:tc>
      </w:tr>
      <w:tr w:rsidR="00394C65" w:rsidRPr="00394C65" w14:paraId="5CBF9135" w14:textId="77777777" w:rsidTr="00650100">
        <w:tc>
          <w:tcPr>
            <w:tcW w:w="9776" w:type="dxa"/>
          </w:tcPr>
          <w:p w14:paraId="1E17F198" w14:textId="231FD7D7" w:rsidR="006D3BC4" w:rsidRPr="00394C65" w:rsidRDefault="006D3BC4" w:rsidP="00AE217B">
            <w:pPr>
              <w:jc w:val="both"/>
              <w:rPr>
                <w:sz w:val="20"/>
                <w:szCs w:val="20"/>
              </w:rPr>
            </w:pPr>
            <w:r w:rsidRPr="00394C65">
              <w:rPr>
                <w:b/>
                <w:sz w:val="20"/>
                <w:szCs w:val="20"/>
              </w:rPr>
              <w:t xml:space="preserve">CHAPITRE </w:t>
            </w:r>
            <w:r w:rsidR="00AE217B" w:rsidRPr="00394C65">
              <w:rPr>
                <w:b/>
                <w:sz w:val="20"/>
                <w:szCs w:val="20"/>
              </w:rPr>
              <w:t>3 </w:t>
            </w:r>
            <w:r w:rsidRPr="00394C65">
              <w:rPr>
                <w:b/>
                <w:sz w:val="20"/>
                <w:szCs w:val="20"/>
              </w:rPr>
              <w:t xml:space="preserve">: </w:t>
            </w:r>
            <w:r w:rsidR="00AE217B" w:rsidRPr="00394C65">
              <w:rPr>
                <w:b/>
                <w:sz w:val="20"/>
                <w:szCs w:val="20"/>
              </w:rPr>
              <w:t xml:space="preserve">REGLES APPLICABLES AUX </w:t>
            </w:r>
            <w:r w:rsidR="00372E4D" w:rsidRPr="00394C65">
              <w:rPr>
                <w:b/>
                <w:sz w:val="20"/>
                <w:szCs w:val="20"/>
              </w:rPr>
              <w:t>ESPACE</w:t>
            </w:r>
            <w:r w:rsidR="00AE217B" w:rsidRPr="00394C65">
              <w:rPr>
                <w:b/>
                <w:sz w:val="20"/>
                <w:szCs w:val="20"/>
              </w:rPr>
              <w:t>S</w:t>
            </w:r>
            <w:r w:rsidR="00372E4D" w:rsidRPr="00394C65">
              <w:rPr>
                <w:b/>
                <w:sz w:val="20"/>
                <w:szCs w:val="20"/>
              </w:rPr>
              <w:t xml:space="preserve"> </w:t>
            </w:r>
            <w:r w:rsidR="00AE217B" w:rsidRPr="00394C65">
              <w:rPr>
                <w:b/>
                <w:sz w:val="20"/>
                <w:szCs w:val="20"/>
              </w:rPr>
              <w:t xml:space="preserve">ACCESSIBLES AU </w:t>
            </w:r>
            <w:r w:rsidR="00372E4D" w:rsidRPr="00394C65">
              <w:rPr>
                <w:b/>
                <w:sz w:val="20"/>
                <w:szCs w:val="20"/>
              </w:rPr>
              <w:t>PUBLIC</w:t>
            </w:r>
          </w:p>
        </w:tc>
        <w:tc>
          <w:tcPr>
            <w:tcW w:w="4394" w:type="dxa"/>
          </w:tcPr>
          <w:p w14:paraId="179C2837" w14:textId="77777777" w:rsidR="006D3BC4" w:rsidRPr="00394C65" w:rsidRDefault="006D3BC4" w:rsidP="00835AB2">
            <w:pPr>
              <w:jc w:val="both"/>
              <w:rPr>
                <w:sz w:val="20"/>
                <w:szCs w:val="20"/>
              </w:rPr>
            </w:pPr>
          </w:p>
        </w:tc>
      </w:tr>
      <w:tr w:rsidR="00394C65" w:rsidRPr="00394C65" w14:paraId="037CA85E" w14:textId="77777777" w:rsidTr="00650100">
        <w:tc>
          <w:tcPr>
            <w:tcW w:w="9776" w:type="dxa"/>
          </w:tcPr>
          <w:p w14:paraId="589AC126" w14:textId="3D3C0DA9" w:rsidR="00372E4D" w:rsidRPr="00394C65" w:rsidRDefault="00372E4D" w:rsidP="00835AB2">
            <w:pPr>
              <w:jc w:val="both"/>
              <w:rPr>
                <w:sz w:val="20"/>
                <w:szCs w:val="20"/>
              </w:rPr>
            </w:pPr>
            <w:r w:rsidRPr="00394C65">
              <w:rPr>
                <w:b/>
                <w:sz w:val="20"/>
                <w:szCs w:val="20"/>
              </w:rPr>
              <w:t xml:space="preserve">Article </w:t>
            </w:r>
            <w:r w:rsidR="000D141D" w:rsidRPr="00394C65">
              <w:rPr>
                <w:b/>
                <w:sz w:val="20"/>
                <w:szCs w:val="20"/>
              </w:rPr>
              <w:t xml:space="preserve">14 </w:t>
            </w:r>
            <w:r w:rsidRPr="00394C65">
              <w:rPr>
                <w:b/>
                <w:sz w:val="20"/>
                <w:szCs w:val="20"/>
              </w:rPr>
              <w:t xml:space="preserve">– </w:t>
            </w:r>
            <w:r w:rsidR="000D141D" w:rsidRPr="00394C65">
              <w:rPr>
                <w:b/>
                <w:sz w:val="20"/>
                <w:szCs w:val="20"/>
              </w:rPr>
              <w:t xml:space="preserve">Traversée </w:t>
            </w:r>
            <w:r w:rsidRPr="00394C65">
              <w:rPr>
                <w:b/>
                <w:sz w:val="20"/>
                <w:szCs w:val="20"/>
              </w:rPr>
              <w:t xml:space="preserve">piétonne </w:t>
            </w:r>
          </w:p>
        </w:tc>
        <w:tc>
          <w:tcPr>
            <w:tcW w:w="4394" w:type="dxa"/>
          </w:tcPr>
          <w:p w14:paraId="43F0AF2A" w14:textId="77777777" w:rsidR="00372E4D" w:rsidRPr="00394C65" w:rsidRDefault="00372E4D" w:rsidP="00835AB2">
            <w:pPr>
              <w:jc w:val="both"/>
              <w:rPr>
                <w:sz w:val="20"/>
                <w:szCs w:val="20"/>
              </w:rPr>
            </w:pPr>
          </w:p>
        </w:tc>
      </w:tr>
      <w:tr w:rsidR="00394C65" w:rsidRPr="00394C65" w14:paraId="03DBA781" w14:textId="77777777" w:rsidTr="00650100">
        <w:tc>
          <w:tcPr>
            <w:tcW w:w="9776" w:type="dxa"/>
          </w:tcPr>
          <w:p w14:paraId="251C8381" w14:textId="43E4E08A" w:rsidR="000C7686" w:rsidRPr="00394C65" w:rsidRDefault="000C7686" w:rsidP="00835AB2">
            <w:pPr>
              <w:pStyle w:val="lettre"/>
              <w:spacing w:before="0" w:after="0"/>
              <w:jc w:val="both"/>
              <w:rPr>
                <w:rFonts w:ascii="Times New Roman" w:eastAsia="Times New Roman" w:hAnsi="Times New Roman"/>
                <w:sz w:val="20"/>
                <w:szCs w:val="20"/>
                <w:lang w:val="fr-BE" w:eastAsia="fr-FR"/>
              </w:rPr>
            </w:pPr>
            <w:r w:rsidRPr="00394C65">
              <w:rPr>
                <w:rFonts w:ascii="Times New Roman" w:eastAsia="Times New Roman" w:hAnsi="Times New Roman"/>
                <w:sz w:val="20"/>
                <w:szCs w:val="20"/>
                <w:lang w:val="fr-BE" w:eastAsia="fr-FR"/>
              </w:rPr>
              <w:t xml:space="preserve">§ </w:t>
            </w:r>
            <w:r w:rsidR="000D141D" w:rsidRPr="00394C65">
              <w:rPr>
                <w:rFonts w:ascii="Times New Roman" w:eastAsia="Times New Roman" w:hAnsi="Times New Roman"/>
                <w:sz w:val="20"/>
                <w:szCs w:val="20"/>
                <w:lang w:val="fr-BE" w:eastAsia="fr-FR"/>
              </w:rPr>
              <w:t>1</w:t>
            </w:r>
            <w:r w:rsidR="000D141D" w:rsidRPr="00394C65">
              <w:rPr>
                <w:rFonts w:ascii="Times New Roman" w:eastAsia="Times New Roman" w:hAnsi="Times New Roman"/>
                <w:sz w:val="20"/>
                <w:szCs w:val="20"/>
                <w:vertAlign w:val="superscript"/>
                <w:lang w:val="fr-BE" w:eastAsia="fr-FR"/>
              </w:rPr>
              <w:t>er</w:t>
            </w:r>
            <w:r w:rsidRPr="00394C65">
              <w:rPr>
                <w:rFonts w:ascii="Times New Roman" w:eastAsia="Times New Roman" w:hAnsi="Times New Roman"/>
                <w:sz w:val="20"/>
                <w:szCs w:val="20"/>
                <w:lang w:val="fr-BE" w:eastAsia="fr-FR"/>
              </w:rPr>
              <w:t>. La transition entre la voie de circulation piétonne et la chaussée est réalisée :</w:t>
            </w:r>
          </w:p>
          <w:p w14:paraId="51EDA63B" w14:textId="77777777" w:rsidR="000C7686" w:rsidRPr="00394C65" w:rsidRDefault="000C7686" w:rsidP="00835AB2">
            <w:pPr>
              <w:pStyle w:val="lettre"/>
              <w:spacing w:before="0" w:after="0"/>
              <w:ind w:left="348" w:hanging="348"/>
              <w:jc w:val="both"/>
              <w:rPr>
                <w:rFonts w:ascii="Times New Roman" w:eastAsia="Times New Roman" w:hAnsi="Times New Roman"/>
                <w:sz w:val="20"/>
                <w:szCs w:val="20"/>
                <w:lang w:val="fr-BE" w:eastAsia="fr-FR"/>
              </w:rPr>
            </w:pPr>
            <w:r w:rsidRPr="00394C65">
              <w:rPr>
                <w:rFonts w:ascii="Times New Roman" w:eastAsia="Times New Roman" w:hAnsi="Times New Roman"/>
                <w:sz w:val="20"/>
                <w:szCs w:val="20"/>
                <w:lang w:val="fr-BE" w:eastAsia="fr-FR"/>
              </w:rPr>
              <w:t>1°   soit au moyen d’un rehaussement de la chaussée au niveau du trottoir ;</w:t>
            </w:r>
          </w:p>
          <w:p w14:paraId="250F1262" w14:textId="77777777" w:rsidR="000C7686" w:rsidRPr="00394C65" w:rsidRDefault="000C7686" w:rsidP="00835AB2">
            <w:pPr>
              <w:pStyle w:val="lettre"/>
              <w:spacing w:before="0" w:after="0"/>
              <w:ind w:left="348" w:hanging="348"/>
              <w:jc w:val="both"/>
              <w:rPr>
                <w:rFonts w:ascii="Times New Roman" w:eastAsia="Times New Roman" w:hAnsi="Times New Roman"/>
                <w:sz w:val="20"/>
                <w:szCs w:val="20"/>
                <w:lang w:val="fr-BE" w:eastAsia="fr-FR"/>
              </w:rPr>
            </w:pPr>
            <w:r w:rsidRPr="00394C65">
              <w:rPr>
                <w:rFonts w:ascii="Times New Roman" w:eastAsia="Times New Roman" w:hAnsi="Times New Roman"/>
                <w:sz w:val="20"/>
                <w:szCs w:val="20"/>
                <w:lang w:val="fr-BE" w:eastAsia="fr-FR"/>
              </w:rPr>
              <w:t>2°   soit par un abaissement progressif de la voie de circulation piétonne, réalisé moyennant un plan incliné accessible aux personnes à mobilité réduite et dont la pente transversale maximale est de 8% ;</w:t>
            </w:r>
          </w:p>
          <w:p w14:paraId="2AEB6F60" w14:textId="77777777" w:rsidR="000C7686" w:rsidRPr="00394C65" w:rsidRDefault="000C7686" w:rsidP="00835AB2">
            <w:pPr>
              <w:jc w:val="both"/>
              <w:rPr>
                <w:sz w:val="20"/>
                <w:szCs w:val="20"/>
              </w:rPr>
            </w:pPr>
          </w:p>
          <w:p w14:paraId="3E163AB5" w14:textId="3E86E74C" w:rsidR="00C852DC" w:rsidRPr="00394C65" w:rsidRDefault="00C852DC" w:rsidP="00835AB2">
            <w:pPr>
              <w:jc w:val="both"/>
              <w:rPr>
                <w:sz w:val="20"/>
                <w:szCs w:val="20"/>
              </w:rPr>
            </w:pPr>
            <w:r w:rsidRPr="00394C65">
              <w:rPr>
                <w:sz w:val="20"/>
                <w:szCs w:val="20"/>
              </w:rPr>
              <w:t xml:space="preserve">§ </w:t>
            </w:r>
            <w:r w:rsidR="000C7686" w:rsidRPr="00394C65">
              <w:rPr>
                <w:sz w:val="20"/>
                <w:szCs w:val="20"/>
              </w:rPr>
              <w:t>2</w:t>
            </w:r>
            <w:r w:rsidRPr="00394C65">
              <w:rPr>
                <w:sz w:val="20"/>
                <w:szCs w:val="20"/>
              </w:rPr>
              <w:t>. Les dispositif</w:t>
            </w:r>
            <w:r w:rsidR="000D141D" w:rsidRPr="00394C65">
              <w:rPr>
                <w:sz w:val="20"/>
                <w:szCs w:val="20"/>
              </w:rPr>
              <w:t>s</w:t>
            </w:r>
            <w:r w:rsidRPr="00394C65">
              <w:rPr>
                <w:sz w:val="20"/>
                <w:szCs w:val="20"/>
              </w:rPr>
              <w:t xml:space="preserve"> podotactiles sont placés dès que nécessaire et notamment à l’approche de</w:t>
            </w:r>
            <w:r w:rsidR="000D141D" w:rsidRPr="00394C65">
              <w:rPr>
                <w:sz w:val="20"/>
                <w:szCs w:val="20"/>
              </w:rPr>
              <w:t>s</w:t>
            </w:r>
            <w:r w:rsidRPr="00394C65">
              <w:rPr>
                <w:sz w:val="20"/>
                <w:szCs w:val="20"/>
              </w:rPr>
              <w:t xml:space="preserve"> traversée</w:t>
            </w:r>
            <w:r w:rsidR="000D141D" w:rsidRPr="00394C65">
              <w:rPr>
                <w:sz w:val="20"/>
                <w:szCs w:val="20"/>
              </w:rPr>
              <w:t>s</w:t>
            </w:r>
            <w:r w:rsidRPr="00394C65">
              <w:rPr>
                <w:sz w:val="20"/>
                <w:szCs w:val="20"/>
              </w:rPr>
              <w:t xml:space="preserve"> piétonnes, terre-pleins, </w:t>
            </w:r>
            <w:r w:rsidR="000D141D" w:rsidRPr="00394C65">
              <w:rPr>
                <w:sz w:val="20"/>
                <w:szCs w:val="20"/>
              </w:rPr>
              <w:t xml:space="preserve">îlots </w:t>
            </w:r>
            <w:r w:rsidRPr="00394C65">
              <w:rPr>
                <w:sz w:val="20"/>
                <w:szCs w:val="20"/>
              </w:rPr>
              <w:t>directionnels, refuges, emplacement</w:t>
            </w:r>
            <w:r w:rsidR="000D141D" w:rsidRPr="00394C65">
              <w:rPr>
                <w:sz w:val="20"/>
                <w:szCs w:val="20"/>
              </w:rPr>
              <w:t>s</w:t>
            </w:r>
            <w:r w:rsidRPr="00394C65">
              <w:rPr>
                <w:sz w:val="20"/>
                <w:szCs w:val="20"/>
              </w:rPr>
              <w:t xml:space="preserve"> des portes des véhicules de transport en commun au niveau des arrêts et mobilier</w:t>
            </w:r>
            <w:r w:rsidR="000D141D" w:rsidRPr="00394C65">
              <w:rPr>
                <w:sz w:val="20"/>
                <w:szCs w:val="20"/>
              </w:rPr>
              <w:t>s</w:t>
            </w:r>
            <w:r w:rsidRPr="00394C65">
              <w:rPr>
                <w:sz w:val="20"/>
                <w:szCs w:val="20"/>
              </w:rPr>
              <w:t xml:space="preserve"> urbain</w:t>
            </w:r>
            <w:r w:rsidR="000D141D" w:rsidRPr="00394C65">
              <w:rPr>
                <w:sz w:val="20"/>
                <w:szCs w:val="20"/>
              </w:rPr>
              <w:t>s</w:t>
            </w:r>
            <w:r w:rsidRPr="00394C65">
              <w:rPr>
                <w:sz w:val="20"/>
                <w:szCs w:val="20"/>
              </w:rPr>
              <w:t xml:space="preserve"> non prolongé</w:t>
            </w:r>
            <w:r w:rsidR="000D141D" w:rsidRPr="00394C65">
              <w:rPr>
                <w:sz w:val="20"/>
                <w:szCs w:val="20"/>
              </w:rPr>
              <w:t>s</w:t>
            </w:r>
            <w:r w:rsidRPr="00394C65">
              <w:rPr>
                <w:sz w:val="20"/>
                <w:szCs w:val="20"/>
              </w:rPr>
              <w:t xml:space="preserve"> jusqu’au le sol.</w:t>
            </w:r>
          </w:p>
          <w:p w14:paraId="5F6EF0BC" w14:textId="77777777" w:rsidR="00C852DC" w:rsidRPr="00394C65" w:rsidRDefault="00C852DC" w:rsidP="00835AB2">
            <w:pPr>
              <w:pStyle w:val="lettre"/>
              <w:spacing w:before="0" w:after="0"/>
              <w:jc w:val="both"/>
              <w:rPr>
                <w:rFonts w:ascii="Times New Roman" w:eastAsia="Times New Roman" w:hAnsi="Times New Roman"/>
                <w:sz w:val="20"/>
                <w:szCs w:val="20"/>
                <w:lang w:val="fr-BE" w:eastAsia="fr-FR"/>
              </w:rPr>
            </w:pPr>
          </w:p>
          <w:p w14:paraId="3C32862E" w14:textId="58642E4B" w:rsidR="006D3BC4" w:rsidRPr="00394C65" w:rsidRDefault="006D3BC4" w:rsidP="00835AB2">
            <w:pPr>
              <w:pStyle w:val="lettre"/>
              <w:spacing w:before="0" w:after="0"/>
              <w:jc w:val="both"/>
              <w:rPr>
                <w:rFonts w:ascii="Times New Roman" w:eastAsia="Times New Roman" w:hAnsi="Times New Roman"/>
                <w:sz w:val="20"/>
                <w:szCs w:val="20"/>
                <w:lang w:val="fr-BE" w:eastAsia="fr-FR"/>
              </w:rPr>
            </w:pPr>
            <w:r w:rsidRPr="00394C65">
              <w:rPr>
                <w:rFonts w:ascii="Times New Roman" w:eastAsia="Times New Roman" w:hAnsi="Times New Roman"/>
                <w:sz w:val="20"/>
                <w:szCs w:val="20"/>
                <w:lang w:val="fr-BE" w:eastAsia="fr-FR"/>
              </w:rPr>
              <w:t xml:space="preserve">§ </w:t>
            </w:r>
            <w:r w:rsidR="000C7686" w:rsidRPr="00394C65">
              <w:rPr>
                <w:rFonts w:ascii="Times New Roman" w:eastAsia="Times New Roman" w:hAnsi="Times New Roman"/>
                <w:sz w:val="20"/>
                <w:szCs w:val="20"/>
                <w:lang w:val="fr-BE" w:eastAsia="fr-FR"/>
              </w:rPr>
              <w:t>3</w:t>
            </w:r>
            <w:r w:rsidRPr="00394C65">
              <w:rPr>
                <w:rFonts w:ascii="Times New Roman" w:eastAsia="Times New Roman" w:hAnsi="Times New Roman"/>
                <w:sz w:val="20"/>
                <w:szCs w:val="20"/>
                <w:lang w:val="fr-BE" w:eastAsia="fr-FR"/>
              </w:rPr>
              <w:t xml:space="preserve">. La ligne de guidage est créée dans le revêtement du trottoir lorsqu'il n'y a pas de ligne guide naturelle </w:t>
            </w:r>
          </w:p>
          <w:p w14:paraId="78CF3A43" w14:textId="77777777" w:rsidR="006D3BC4" w:rsidRPr="00394C65" w:rsidRDefault="006D3BC4" w:rsidP="00835AB2">
            <w:pPr>
              <w:jc w:val="both"/>
              <w:rPr>
                <w:sz w:val="20"/>
                <w:szCs w:val="20"/>
              </w:rPr>
            </w:pPr>
          </w:p>
          <w:p w14:paraId="40FB0B89" w14:textId="33BCC5E9" w:rsidR="006D3BC4" w:rsidRPr="00394C65" w:rsidRDefault="000C7686" w:rsidP="00835AB2">
            <w:pPr>
              <w:jc w:val="both"/>
              <w:rPr>
                <w:sz w:val="20"/>
                <w:szCs w:val="20"/>
              </w:rPr>
            </w:pPr>
            <w:r w:rsidRPr="00394C65">
              <w:rPr>
                <w:sz w:val="20"/>
                <w:szCs w:val="20"/>
              </w:rPr>
              <w:t>§</w:t>
            </w:r>
            <w:r w:rsidR="000D141D" w:rsidRPr="00394C65">
              <w:rPr>
                <w:sz w:val="20"/>
                <w:szCs w:val="20"/>
              </w:rPr>
              <w:t xml:space="preserve"> </w:t>
            </w:r>
            <w:r w:rsidRPr="00394C65">
              <w:rPr>
                <w:sz w:val="20"/>
                <w:szCs w:val="20"/>
              </w:rPr>
              <w:t>4</w:t>
            </w:r>
            <w:r w:rsidR="000D141D" w:rsidRPr="00394C65">
              <w:rPr>
                <w:sz w:val="20"/>
                <w:szCs w:val="20"/>
              </w:rPr>
              <w:t>.</w:t>
            </w:r>
            <w:r w:rsidRPr="00394C65">
              <w:rPr>
                <w:sz w:val="20"/>
                <w:szCs w:val="20"/>
              </w:rPr>
              <w:t xml:space="preserve"> </w:t>
            </w:r>
            <w:r w:rsidR="006D3BC4" w:rsidRPr="00394C65">
              <w:rPr>
                <w:sz w:val="20"/>
                <w:szCs w:val="20"/>
              </w:rPr>
              <w:t xml:space="preserve">Au niveau des traversées piétonnes : </w:t>
            </w:r>
          </w:p>
          <w:p w14:paraId="79F64F86" w14:textId="77777777" w:rsidR="006D3BC4" w:rsidRPr="00394C65" w:rsidRDefault="006D3BC4" w:rsidP="00835AB2">
            <w:pPr>
              <w:pStyle w:val="ListParagraph"/>
              <w:numPr>
                <w:ilvl w:val="0"/>
                <w:numId w:val="36"/>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la ligne de guidage est parallèle à l'axe de la traversée piétonne. Elle indique la direction à suivre pour traverser ;</w:t>
            </w:r>
          </w:p>
          <w:p w14:paraId="7955AFD4" w14:textId="1650CB5D" w:rsidR="006D3BC4" w:rsidRPr="00394C65" w:rsidRDefault="006D3BC4" w:rsidP="00835AB2">
            <w:pPr>
              <w:pStyle w:val="ListParagraph"/>
              <w:numPr>
                <w:ilvl w:val="0"/>
                <w:numId w:val="36"/>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la ligne de revêtement de vigilance est perpendiculaire à la ligne de guidage, et donc perpendiculaire à la direction de la traversée</w:t>
            </w:r>
            <w:r w:rsidR="000D141D" w:rsidRPr="00394C65">
              <w:rPr>
                <w:rFonts w:ascii="Times New Roman" w:eastAsia="Times New Roman" w:hAnsi="Times New Roman" w:cs="Times New Roman"/>
                <w:sz w:val="20"/>
                <w:szCs w:val="20"/>
                <w:lang w:eastAsia="fr-FR"/>
              </w:rPr>
              <w:t>.</w:t>
            </w:r>
          </w:p>
          <w:p w14:paraId="2776D9B2" w14:textId="77777777" w:rsidR="000D141D" w:rsidRPr="00394C65" w:rsidRDefault="000D141D" w:rsidP="00835AB2">
            <w:pPr>
              <w:jc w:val="both"/>
              <w:rPr>
                <w:sz w:val="20"/>
                <w:szCs w:val="20"/>
              </w:rPr>
            </w:pPr>
          </w:p>
          <w:p w14:paraId="06692718" w14:textId="0BC54DAA" w:rsidR="006D3BC4" w:rsidRPr="00394C65" w:rsidRDefault="006D3BC4" w:rsidP="00835AB2">
            <w:pPr>
              <w:pStyle w:val="lettre"/>
              <w:spacing w:before="0" w:after="0"/>
              <w:jc w:val="both"/>
              <w:rPr>
                <w:rFonts w:ascii="Times New Roman" w:hAnsi="Times New Roman"/>
                <w:sz w:val="20"/>
                <w:szCs w:val="20"/>
              </w:rPr>
            </w:pPr>
            <w:r w:rsidRPr="00394C65">
              <w:rPr>
                <w:rFonts w:ascii="Times New Roman" w:hAnsi="Times New Roman"/>
                <w:sz w:val="20"/>
                <w:szCs w:val="20"/>
              </w:rPr>
              <w:lastRenderedPageBreak/>
              <w:t xml:space="preserve">§ </w:t>
            </w:r>
            <w:r w:rsidR="000C7686" w:rsidRPr="00394C65">
              <w:rPr>
                <w:rFonts w:ascii="Times New Roman" w:hAnsi="Times New Roman"/>
                <w:sz w:val="20"/>
                <w:szCs w:val="20"/>
              </w:rPr>
              <w:t>5</w:t>
            </w:r>
            <w:r w:rsidRPr="00394C65">
              <w:rPr>
                <w:rFonts w:ascii="Times New Roman" w:hAnsi="Times New Roman"/>
                <w:sz w:val="20"/>
                <w:szCs w:val="20"/>
              </w:rPr>
              <w:t>. Au droit des traversées piétonnes, la chaussée ne comporte aucun équipement technique, tel que des avaloirs, parties mobiles d’aiguillages ou grilles d’aération.</w:t>
            </w:r>
          </w:p>
        </w:tc>
        <w:tc>
          <w:tcPr>
            <w:tcW w:w="4394" w:type="dxa"/>
          </w:tcPr>
          <w:p w14:paraId="0B0D7ADF" w14:textId="59218DF7" w:rsidR="006D3BC4" w:rsidRPr="00394C65" w:rsidRDefault="006D3BC4" w:rsidP="00835AB2">
            <w:pPr>
              <w:jc w:val="both"/>
              <w:rPr>
                <w:sz w:val="20"/>
                <w:szCs w:val="20"/>
              </w:rPr>
            </w:pPr>
            <w:r w:rsidRPr="00394C65">
              <w:rPr>
                <w:sz w:val="20"/>
                <w:szCs w:val="20"/>
              </w:rPr>
              <w:lastRenderedPageBreak/>
              <w:t xml:space="preserve">Remarque : Le Cahier de l’accessibilité piétonne </w:t>
            </w:r>
            <w:r w:rsidR="00163C6D" w:rsidRPr="00394C65">
              <w:rPr>
                <w:sz w:val="20"/>
                <w:szCs w:val="20"/>
              </w:rPr>
              <w:t xml:space="preserve">établi par Bruxelles Mobilité contient des recommandations </w:t>
            </w:r>
            <w:r w:rsidRPr="00394C65">
              <w:rPr>
                <w:sz w:val="20"/>
                <w:szCs w:val="20"/>
              </w:rPr>
              <w:t>pour l’aménagement de l’espace public accessible à tou</w:t>
            </w:r>
            <w:r w:rsidR="00163C6D" w:rsidRPr="00394C65">
              <w:rPr>
                <w:sz w:val="20"/>
                <w:szCs w:val="20"/>
              </w:rPr>
              <w:t>s</w:t>
            </w:r>
            <w:r w:rsidRPr="00394C65">
              <w:rPr>
                <w:sz w:val="20"/>
                <w:szCs w:val="20"/>
              </w:rPr>
              <w:t xml:space="preserve"> : </w:t>
            </w:r>
            <w:hyperlink r:id="rId9" w:history="1">
              <w:r w:rsidRPr="00394C65">
                <w:rPr>
                  <w:rStyle w:val="Hyperlink"/>
                  <w:color w:val="auto"/>
                  <w:sz w:val="20"/>
                  <w:szCs w:val="20"/>
                </w:rPr>
                <w:t>https://mobilite-mobiliteit.brussels/sites/default/files/vm4-accessibilite-pietonne-fr-web.pdf</w:t>
              </w:r>
            </w:hyperlink>
          </w:p>
          <w:p w14:paraId="40CE91ED" w14:textId="77777777" w:rsidR="006D3BC4" w:rsidRPr="00394C65" w:rsidRDefault="006D3BC4" w:rsidP="00835AB2">
            <w:pPr>
              <w:jc w:val="both"/>
              <w:rPr>
                <w:sz w:val="20"/>
                <w:szCs w:val="20"/>
              </w:rPr>
            </w:pPr>
          </w:p>
          <w:p w14:paraId="4FC10025" w14:textId="77777777" w:rsidR="006D3BC4" w:rsidRPr="00394C65" w:rsidRDefault="006D3BC4" w:rsidP="00835AB2">
            <w:pPr>
              <w:jc w:val="both"/>
              <w:rPr>
                <w:sz w:val="20"/>
                <w:szCs w:val="20"/>
              </w:rPr>
            </w:pPr>
          </w:p>
          <w:p w14:paraId="3A2F7D7C" w14:textId="77777777" w:rsidR="006D3BC4" w:rsidRPr="00394C65" w:rsidRDefault="006D3BC4" w:rsidP="00835AB2">
            <w:pPr>
              <w:jc w:val="both"/>
              <w:rPr>
                <w:sz w:val="20"/>
                <w:szCs w:val="20"/>
              </w:rPr>
            </w:pPr>
          </w:p>
          <w:p w14:paraId="1E60D517" w14:textId="77777777" w:rsidR="006D3BC4" w:rsidRPr="00394C65" w:rsidRDefault="006D3BC4" w:rsidP="00835AB2">
            <w:pPr>
              <w:jc w:val="both"/>
              <w:rPr>
                <w:sz w:val="20"/>
                <w:szCs w:val="20"/>
              </w:rPr>
            </w:pPr>
          </w:p>
        </w:tc>
      </w:tr>
      <w:tr w:rsidR="00394C65" w:rsidRPr="00394C65" w14:paraId="48DEC039" w14:textId="77777777" w:rsidTr="00650100">
        <w:tc>
          <w:tcPr>
            <w:tcW w:w="9776" w:type="dxa"/>
          </w:tcPr>
          <w:p w14:paraId="15792E67" w14:textId="2B41385E" w:rsidR="006D3BC4" w:rsidRPr="00394C65" w:rsidRDefault="00372E4D" w:rsidP="00835AB2">
            <w:pPr>
              <w:jc w:val="both"/>
              <w:rPr>
                <w:b/>
                <w:sz w:val="20"/>
                <w:szCs w:val="20"/>
              </w:rPr>
            </w:pPr>
            <w:r w:rsidRPr="00394C65">
              <w:rPr>
                <w:b/>
                <w:sz w:val="20"/>
                <w:szCs w:val="20"/>
              </w:rPr>
              <w:t xml:space="preserve">Article </w:t>
            </w:r>
            <w:r w:rsidR="000D141D" w:rsidRPr="00394C65">
              <w:rPr>
                <w:b/>
                <w:sz w:val="20"/>
                <w:szCs w:val="20"/>
              </w:rPr>
              <w:t xml:space="preserve">15 </w:t>
            </w:r>
            <w:r w:rsidRPr="00394C65">
              <w:rPr>
                <w:b/>
                <w:sz w:val="20"/>
                <w:szCs w:val="20"/>
              </w:rPr>
              <w:t>- Arrêt</w:t>
            </w:r>
            <w:r w:rsidR="000D141D" w:rsidRPr="00394C65">
              <w:rPr>
                <w:b/>
                <w:sz w:val="20"/>
                <w:szCs w:val="20"/>
              </w:rPr>
              <w:t>s</w:t>
            </w:r>
            <w:r w:rsidR="00C852DC" w:rsidRPr="00394C65">
              <w:rPr>
                <w:b/>
                <w:sz w:val="20"/>
                <w:szCs w:val="20"/>
              </w:rPr>
              <w:t xml:space="preserve"> de transport en commun</w:t>
            </w:r>
          </w:p>
        </w:tc>
        <w:tc>
          <w:tcPr>
            <w:tcW w:w="4394" w:type="dxa"/>
          </w:tcPr>
          <w:p w14:paraId="64F5E854" w14:textId="77777777" w:rsidR="006D3BC4" w:rsidRPr="00394C65" w:rsidRDefault="006D3BC4" w:rsidP="00835AB2">
            <w:pPr>
              <w:jc w:val="both"/>
              <w:rPr>
                <w:sz w:val="20"/>
                <w:szCs w:val="20"/>
              </w:rPr>
            </w:pPr>
          </w:p>
        </w:tc>
      </w:tr>
      <w:tr w:rsidR="00394C65" w:rsidRPr="00394C65" w14:paraId="2DC5E25E" w14:textId="77777777" w:rsidTr="00650100">
        <w:tc>
          <w:tcPr>
            <w:tcW w:w="9776" w:type="dxa"/>
          </w:tcPr>
          <w:p w14:paraId="7F11313A" w14:textId="72D4230C" w:rsidR="00C852DC" w:rsidRPr="00394C65" w:rsidRDefault="000808AB" w:rsidP="00835AB2">
            <w:pPr>
              <w:jc w:val="both"/>
              <w:rPr>
                <w:sz w:val="20"/>
                <w:szCs w:val="20"/>
                <w:highlight w:val="yellow"/>
              </w:rPr>
            </w:pPr>
            <w:r w:rsidRPr="00394C65">
              <w:rPr>
                <w:sz w:val="20"/>
                <w:szCs w:val="20"/>
                <w:highlight w:val="yellow"/>
              </w:rPr>
              <w:t>Voir avec la STIB</w:t>
            </w:r>
          </w:p>
        </w:tc>
        <w:tc>
          <w:tcPr>
            <w:tcW w:w="4394" w:type="dxa"/>
          </w:tcPr>
          <w:p w14:paraId="519A76A1" w14:textId="77777777" w:rsidR="00C852DC" w:rsidRPr="00394C65" w:rsidRDefault="00C852DC" w:rsidP="00835AB2">
            <w:pPr>
              <w:jc w:val="both"/>
              <w:rPr>
                <w:sz w:val="20"/>
                <w:szCs w:val="20"/>
              </w:rPr>
            </w:pPr>
          </w:p>
        </w:tc>
      </w:tr>
      <w:tr w:rsidR="00394C65" w:rsidRPr="00394C65" w14:paraId="72C8CA82" w14:textId="77777777" w:rsidTr="00650100">
        <w:tc>
          <w:tcPr>
            <w:tcW w:w="9776" w:type="dxa"/>
          </w:tcPr>
          <w:p w14:paraId="14C2776E" w14:textId="77501B23" w:rsidR="006F5947" w:rsidRPr="00394C65" w:rsidRDefault="006F5947" w:rsidP="00AE217B">
            <w:pPr>
              <w:jc w:val="both"/>
              <w:rPr>
                <w:b/>
                <w:sz w:val="20"/>
                <w:szCs w:val="20"/>
              </w:rPr>
            </w:pPr>
            <w:r w:rsidRPr="00394C65">
              <w:rPr>
                <w:b/>
                <w:sz w:val="20"/>
                <w:szCs w:val="20"/>
              </w:rPr>
              <w:t xml:space="preserve">CHAPITRE </w:t>
            </w:r>
            <w:r w:rsidR="00AE217B" w:rsidRPr="00394C65">
              <w:rPr>
                <w:b/>
                <w:sz w:val="20"/>
                <w:szCs w:val="20"/>
              </w:rPr>
              <w:t>4 </w:t>
            </w:r>
            <w:r w:rsidRPr="00394C65">
              <w:rPr>
                <w:b/>
                <w:sz w:val="20"/>
                <w:szCs w:val="20"/>
              </w:rPr>
              <w:t xml:space="preserve">: </w:t>
            </w:r>
            <w:r w:rsidR="00AE217B" w:rsidRPr="00394C65">
              <w:rPr>
                <w:b/>
                <w:sz w:val="20"/>
                <w:szCs w:val="20"/>
              </w:rPr>
              <w:t xml:space="preserve">REGLES APPLICABLES AUX </w:t>
            </w:r>
            <w:r w:rsidRPr="00394C65">
              <w:rPr>
                <w:b/>
                <w:sz w:val="20"/>
                <w:szCs w:val="20"/>
              </w:rPr>
              <w:t xml:space="preserve">EQUIPEMENTS </w:t>
            </w:r>
            <w:r w:rsidR="00AE217B" w:rsidRPr="00394C65">
              <w:rPr>
                <w:b/>
                <w:sz w:val="20"/>
                <w:szCs w:val="20"/>
              </w:rPr>
              <w:t>ACCESSIBLES AU PUBLIC</w:t>
            </w:r>
          </w:p>
        </w:tc>
        <w:tc>
          <w:tcPr>
            <w:tcW w:w="4394" w:type="dxa"/>
          </w:tcPr>
          <w:p w14:paraId="036C74C8" w14:textId="77777777" w:rsidR="006F5947" w:rsidRPr="00394C65" w:rsidRDefault="006F5947" w:rsidP="00835AB2">
            <w:pPr>
              <w:jc w:val="both"/>
              <w:rPr>
                <w:sz w:val="20"/>
                <w:szCs w:val="20"/>
              </w:rPr>
            </w:pPr>
          </w:p>
        </w:tc>
      </w:tr>
      <w:tr w:rsidR="00394C65" w:rsidRPr="00394C65" w14:paraId="53452D88" w14:textId="77777777" w:rsidTr="00650100">
        <w:tc>
          <w:tcPr>
            <w:tcW w:w="9776" w:type="dxa"/>
          </w:tcPr>
          <w:p w14:paraId="5DAD915E" w14:textId="70724F5D" w:rsidR="00E508F2" w:rsidRPr="00394C65" w:rsidRDefault="00372E4D" w:rsidP="00835AB2">
            <w:pPr>
              <w:jc w:val="both"/>
              <w:rPr>
                <w:sz w:val="20"/>
                <w:szCs w:val="20"/>
              </w:rPr>
            </w:pPr>
            <w:r w:rsidRPr="00394C65">
              <w:rPr>
                <w:b/>
                <w:sz w:val="20"/>
                <w:szCs w:val="20"/>
              </w:rPr>
              <w:t xml:space="preserve">Article </w:t>
            </w:r>
            <w:r w:rsidR="000D141D" w:rsidRPr="00394C65">
              <w:rPr>
                <w:b/>
                <w:sz w:val="20"/>
                <w:szCs w:val="20"/>
              </w:rPr>
              <w:t xml:space="preserve">16 </w:t>
            </w:r>
            <w:r w:rsidRPr="00394C65">
              <w:rPr>
                <w:b/>
                <w:sz w:val="20"/>
                <w:szCs w:val="20"/>
              </w:rPr>
              <w:t xml:space="preserve">- </w:t>
            </w:r>
            <w:r w:rsidR="000D141D" w:rsidRPr="00394C65">
              <w:rPr>
                <w:b/>
                <w:sz w:val="20"/>
                <w:szCs w:val="20"/>
              </w:rPr>
              <w:t>Généralités</w:t>
            </w:r>
          </w:p>
        </w:tc>
        <w:tc>
          <w:tcPr>
            <w:tcW w:w="4394" w:type="dxa"/>
          </w:tcPr>
          <w:p w14:paraId="66AE998A" w14:textId="77777777" w:rsidR="00E508F2" w:rsidRPr="00394C65" w:rsidRDefault="00E508F2" w:rsidP="00835AB2">
            <w:pPr>
              <w:jc w:val="both"/>
              <w:rPr>
                <w:sz w:val="20"/>
                <w:szCs w:val="20"/>
              </w:rPr>
            </w:pPr>
          </w:p>
        </w:tc>
      </w:tr>
      <w:tr w:rsidR="00394C65" w:rsidRPr="00394C65" w14:paraId="5448FB88" w14:textId="77777777" w:rsidTr="00650100">
        <w:tc>
          <w:tcPr>
            <w:tcW w:w="9776" w:type="dxa"/>
          </w:tcPr>
          <w:p w14:paraId="61318CAD" w14:textId="1C154AEA" w:rsidR="00E508F2" w:rsidRPr="00394C65" w:rsidRDefault="00E508F2" w:rsidP="00835AB2">
            <w:pPr>
              <w:jc w:val="both"/>
              <w:rPr>
                <w:sz w:val="20"/>
                <w:szCs w:val="20"/>
              </w:rPr>
            </w:pPr>
            <w:r w:rsidRPr="00394C65">
              <w:rPr>
                <w:sz w:val="20"/>
                <w:szCs w:val="20"/>
              </w:rPr>
              <w:t>Tout équipement</w:t>
            </w:r>
            <w:r w:rsidR="000D141D" w:rsidRPr="00394C65">
              <w:rPr>
                <w:sz w:val="20"/>
                <w:szCs w:val="20"/>
              </w:rPr>
              <w:t>,</w:t>
            </w:r>
            <w:r w:rsidRPr="00394C65">
              <w:rPr>
                <w:sz w:val="20"/>
                <w:szCs w:val="20"/>
              </w:rPr>
              <w:t xml:space="preserve"> tel que banc, poubelle, sonnette, parlophone, </w:t>
            </w:r>
            <w:r w:rsidR="000D141D" w:rsidRPr="00394C65">
              <w:rPr>
                <w:sz w:val="20"/>
                <w:szCs w:val="20"/>
              </w:rPr>
              <w:t xml:space="preserve">boîte </w:t>
            </w:r>
            <w:r w:rsidRPr="00394C65">
              <w:rPr>
                <w:sz w:val="20"/>
                <w:szCs w:val="20"/>
              </w:rPr>
              <w:t>aux lettres, distributeurs, horodateur</w:t>
            </w:r>
            <w:r w:rsidR="009771F0" w:rsidRPr="00394C65">
              <w:rPr>
                <w:sz w:val="20"/>
                <w:szCs w:val="20"/>
              </w:rPr>
              <w:t xml:space="preserve">s ou </w:t>
            </w:r>
            <w:r w:rsidRPr="00394C65">
              <w:rPr>
                <w:sz w:val="20"/>
                <w:szCs w:val="20"/>
              </w:rPr>
              <w:t xml:space="preserve">bornes de rechargement, </w:t>
            </w:r>
            <w:r w:rsidR="00423318" w:rsidRPr="00394C65">
              <w:rPr>
                <w:sz w:val="20"/>
                <w:szCs w:val="20"/>
              </w:rPr>
              <w:t xml:space="preserve">respectent les </w:t>
            </w:r>
            <w:r w:rsidRPr="00394C65">
              <w:rPr>
                <w:sz w:val="20"/>
                <w:szCs w:val="20"/>
              </w:rPr>
              <w:t>conditions suivantes :</w:t>
            </w:r>
          </w:p>
          <w:p w14:paraId="30FA0ED8" w14:textId="0FA5354C" w:rsidR="00E508F2" w:rsidRPr="00394C65" w:rsidRDefault="00E508F2" w:rsidP="00835AB2">
            <w:pPr>
              <w:pStyle w:val="ListParagraph"/>
              <w:numPr>
                <w:ilvl w:val="0"/>
                <w:numId w:val="37"/>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être précédé d’une aire de rotation et est placé à une distance minimale de 0,50 m de toute paroi adjacente</w:t>
            </w:r>
            <w:r w:rsidR="009771F0" w:rsidRPr="00394C65">
              <w:rPr>
                <w:rFonts w:ascii="Times New Roman" w:eastAsia="Times New Roman" w:hAnsi="Times New Roman" w:cs="Times New Roman"/>
                <w:sz w:val="20"/>
                <w:szCs w:val="20"/>
                <w:lang w:eastAsia="fr-FR"/>
              </w:rPr>
              <w:t> ;</w:t>
            </w:r>
          </w:p>
          <w:p w14:paraId="4FDFFFE2" w14:textId="4FFA53BD" w:rsidR="00E508F2" w:rsidRPr="00394C65" w:rsidRDefault="009771F0" w:rsidP="00835AB2">
            <w:pPr>
              <w:pStyle w:val="ListParagraph"/>
              <w:numPr>
                <w:ilvl w:val="0"/>
                <w:numId w:val="37"/>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s’il </w:t>
            </w:r>
            <w:r w:rsidR="00E508F2" w:rsidRPr="00394C65">
              <w:rPr>
                <w:rFonts w:ascii="Times New Roman" w:eastAsia="Times New Roman" w:hAnsi="Times New Roman" w:cs="Times New Roman"/>
                <w:sz w:val="20"/>
                <w:szCs w:val="20"/>
                <w:lang w:eastAsia="fr-FR"/>
              </w:rPr>
              <w:t>est à manipuler</w:t>
            </w:r>
            <w:r w:rsidR="00423318" w:rsidRPr="00394C65">
              <w:rPr>
                <w:rFonts w:ascii="Times New Roman" w:eastAsia="Times New Roman" w:hAnsi="Times New Roman" w:cs="Times New Roman"/>
                <w:sz w:val="20"/>
                <w:szCs w:val="20"/>
                <w:lang w:eastAsia="fr-FR"/>
              </w:rPr>
              <w:t xml:space="preserve"> : </w:t>
            </w:r>
            <w:r w:rsidR="00E508F2" w:rsidRPr="00394C65">
              <w:rPr>
                <w:rFonts w:ascii="Times New Roman" w:eastAsia="Times New Roman" w:hAnsi="Times New Roman" w:cs="Times New Roman"/>
                <w:sz w:val="20"/>
                <w:szCs w:val="20"/>
                <w:lang w:eastAsia="fr-FR"/>
              </w:rPr>
              <w:t xml:space="preserve">se situer à une hauteur comprise en 0,80 </w:t>
            </w:r>
            <w:r w:rsidRPr="00394C65">
              <w:rPr>
                <w:rFonts w:ascii="Times New Roman" w:eastAsia="Times New Roman" w:hAnsi="Times New Roman" w:cs="Times New Roman"/>
                <w:sz w:val="20"/>
                <w:szCs w:val="20"/>
                <w:lang w:eastAsia="fr-FR"/>
              </w:rPr>
              <w:t xml:space="preserve">m </w:t>
            </w:r>
            <w:r w:rsidR="00E508F2" w:rsidRPr="00394C65">
              <w:rPr>
                <w:rFonts w:ascii="Times New Roman" w:eastAsia="Times New Roman" w:hAnsi="Times New Roman" w:cs="Times New Roman"/>
                <w:sz w:val="20"/>
                <w:szCs w:val="20"/>
                <w:lang w:eastAsia="fr-FR"/>
              </w:rPr>
              <w:t>et 0,90 m</w:t>
            </w:r>
            <w:r w:rsidRPr="00394C65">
              <w:rPr>
                <w:rFonts w:ascii="Times New Roman" w:eastAsia="Times New Roman" w:hAnsi="Times New Roman" w:cs="Times New Roman"/>
                <w:sz w:val="20"/>
                <w:szCs w:val="20"/>
                <w:lang w:eastAsia="fr-FR"/>
              </w:rPr>
              <w:t> ;</w:t>
            </w:r>
          </w:p>
          <w:p w14:paraId="6A98936E" w14:textId="516B5D2A" w:rsidR="00E508F2" w:rsidRPr="00394C65" w:rsidRDefault="009771F0" w:rsidP="00835AB2">
            <w:pPr>
              <w:pStyle w:val="ListParagraph"/>
              <w:numPr>
                <w:ilvl w:val="0"/>
                <w:numId w:val="37"/>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s’il </w:t>
            </w:r>
            <w:r w:rsidR="00E508F2" w:rsidRPr="00394C65">
              <w:rPr>
                <w:rFonts w:ascii="Times New Roman" w:eastAsia="Times New Roman" w:hAnsi="Times New Roman" w:cs="Times New Roman"/>
                <w:sz w:val="20"/>
                <w:szCs w:val="20"/>
                <w:lang w:eastAsia="fr-FR"/>
              </w:rPr>
              <w:t>doit pouvoir être vu</w:t>
            </w:r>
            <w:r w:rsidR="00423318" w:rsidRPr="00394C65">
              <w:rPr>
                <w:rFonts w:ascii="Times New Roman" w:eastAsia="Times New Roman" w:hAnsi="Times New Roman" w:cs="Times New Roman"/>
                <w:sz w:val="20"/>
                <w:szCs w:val="20"/>
                <w:lang w:eastAsia="fr-FR"/>
              </w:rPr>
              <w:t xml:space="preserve">, tel qu’un écran ou un digicode : </w:t>
            </w:r>
            <w:r w:rsidR="00E508F2" w:rsidRPr="00394C65">
              <w:rPr>
                <w:rFonts w:ascii="Times New Roman" w:eastAsia="Times New Roman" w:hAnsi="Times New Roman" w:cs="Times New Roman"/>
                <w:sz w:val="20"/>
                <w:szCs w:val="20"/>
                <w:lang w:eastAsia="fr-FR"/>
              </w:rPr>
              <w:t>être situé à une hauteur entre 0,9</w:t>
            </w:r>
            <w:r w:rsidRPr="00394C65">
              <w:rPr>
                <w:rFonts w:ascii="Times New Roman" w:eastAsia="Times New Roman" w:hAnsi="Times New Roman" w:cs="Times New Roman"/>
                <w:sz w:val="20"/>
                <w:szCs w:val="20"/>
                <w:lang w:eastAsia="fr-FR"/>
              </w:rPr>
              <w:t xml:space="preserve"> </w:t>
            </w:r>
            <w:r w:rsidR="00E508F2" w:rsidRPr="00394C65">
              <w:rPr>
                <w:rFonts w:ascii="Times New Roman" w:eastAsia="Times New Roman" w:hAnsi="Times New Roman" w:cs="Times New Roman"/>
                <w:sz w:val="20"/>
                <w:szCs w:val="20"/>
                <w:lang w:eastAsia="fr-FR"/>
              </w:rPr>
              <w:t>m et 1,1</w:t>
            </w:r>
            <w:r w:rsidRPr="00394C65">
              <w:rPr>
                <w:rFonts w:ascii="Times New Roman" w:eastAsia="Times New Roman" w:hAnsi="Times New Roman" w:cs="Times New Roman"/>
                <w:sz w:val="20"/>
                <w:szCs w:val="20"/>
                <w:lang w:eastAsia="fr-FR"/>
              </w:rPr>
              <w:t xml:space="preserve"> </w:t>
            </w:r>
            <w:r w:rsidR="00E508F2" w:rsidRPr="00394C65">
              <w:rPr>
                <w:rFonts w:ascii="Times New Roman" w:eastAsia="Times New Roman" w:hAnsi="Times New Roman" w:cs="Times New Roman"/>
                <w:sz w:val="20"/>
                <w:szCs w:val="20"/>
                <w:lang w:eastAsia="fr-FR"/>
              </w:rPr>
              <w:t>m</w:t>
            </w:r>
            <w:r w:rsidRPr="00394C65">
              <w:rPr>
                <w:rFonts w:ascii="Times New Roman" w:eastAsia="Times New Roman" w:hAnsi="Times New Roman" w:cs="Times New Roman"/>
                <w:sz w:val="20"/>
                <w:szCs w:val="20"/>
                <w:lang w:eastAsia="fr-FR"/>
              </w:rPr>
              <w:t xml:space="preserve"> ; </w:t>
            </w:r>
          </w:p>
          <w:p w14:paraId="3C4EF0D4" w14:textId="77777777" w:rsidR="00E508F2" w:rsidRPr="00394C65" w:rsidRDefault="00E508F2" w:rsidP="00835AB2">
            <w:pPr>
              <w:pStyle w:val="ListParagraph"/>
              <w:numPr>
                <w:ilvl w:val="0"/>
                <w:numId w:val="37"/>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être détectable à la canne par les personnes déficientes visuelles ; </w:t>
            </w:r>
          </w:p>
          <w:p w14:paraId="6D2CD275" w14:textId="6A9418EF" w:rsidR="00E508F2" w:rsidRPr="00394C65" w:rsidRDefault="00E508F2" w:rsidP="00835AB2">
            <w:pPr>
              <w:pStyle w:val="ListParagraph"/>
              <w:numPr>
                <w:ilvl w:val="0"/>
                <w:numId w:val="37"/>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 xml:space="preserve">ne </w:t>
            </w:r>
            <w:r w:rsidR="009771F0" w:rsidRPr="00394C65">
              <w:rPr>
                <w:rFonts w:ascii="Times New Roman" w:eastAsia="Times New Roman" w:hAnsi="Times New Roman" w:cs="Times New Roman"/>
                <w:sz w:val="20"/>
                <w:szCs w:val="20"/>
                <w:lang w:eastAsia="fr-FR"/>
              </w:rPr>
              <w:t xml:space="preserve">pas </w:t>
            </w:r>
            <w:r w:rsidRPr="00394C65">
              <w:rPr>
                <w:rFonts w:ascii="Times New Roman" w:eastAsia="Times New Roman" w:hAnsi="Times New Roman" w:cs="Times New Roman"/>
                <w:sz w:val="20"/>
                <w:szCs w:val="20"/>
                <w:lang w:eastAsia="fr-FR"/>
              </w:rPr>
              <w:t>comporte</w:t>
            </w:r>
            <w:r w:rsidR="009771F0" w:rsidRPr="00394C65">
              <w:rPr>
                <w:rFonts w:ascii="Times New Roman" w:eastAsia="Times New Roman" w:hAnsi="Times New Roman" w:cs="Times New Roman"/>
                <w:sz w:val="20"/>
                <w:szCs w:val="20"/>
                <w:lang w:eastAsia="fr-FR"/>
              </w:rPr>
              <w:t>r</w:t>
            </w:r>
            <w:r w:rsidRPr="00394C65">
              <w:rPr>
                <w:rFonts w:ascii="Times New Roman" w:eastAsia="Times New Roman" w:hAnsi="Times New Roman" w:cs="Times New Roman"/>
                <w:sz w:val="20"/>
                <w:szCs w:val="20"/>
                <w:lang w:eastAsia="fr-FR"/>
              </w:rPr>
              <w:t xml:space="preserve"> d</w:t>
            </w:r>
            <w:r w:rsidR="009771F0" w:rsidRPr="00394C65">
              <w:rPr>
                <w:rFonts w:ascii="Times New Roman" w:eastAsia="Times New Roman" w:hAnsi="Times New Roman" w:cs="Times New Roman"/>
                <w:sz w:val="20"/>
                <w:szCs w:val="20"/>
                <w:lang w:eastAsia="fr-FR"/>
              </w:rPr>
              <w:t>’</w:t>
            </w:r>
            <w:r w:rsidRPr="00394C65">
              <w:rPr>
                <w:rFonts w:ascii="Times New Roman" w:eastAsia="Times New Roman" w:hAnsi="Times New Roman" w:cs="Times New Roman"/>
                <w:sz w:val="20"/>
                <w:szCs w:val="20"/>
                <w:lang w:eastAsia="fr-FR"/>
              </w:rPr>
              <w:t xml:space="preserve">arêtes vives ; </w:t>
            </w:r>
          </w:p>
          <w:p w14:paraId="0C52A0F3" w14:textId="1EE1F67E" w:rsidR="00E508F2" w:rsidRPr="00394C65" w:rsidRDefault="00E508F2" w:rsidP="00423318">
            <w:pPr>
              <w:pStyle w:val="ListParagraph"/>
              <w:numPr>
                <w:ilvl w:val="0"/>
                <w:numId w:val="37"/>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en cas d’assise</w:t>
            </w:r>
            <w:r w:rsidR="00423318" w:rsidRPr="00394C65">
              <w:rPr>
                <w:rFonts w:ascii="Times New Roman" w:eastAsia="Times New Roman" w:hAnsi="Times New Roman" w:cs="Times New Roman"/>
                <w:sz w:val="20"/>
                <w:szCs w:val="20"/>
                <w:lang w:eastAsia="fr-FR"/>
              </w:rPr>
              <w:t xml:space="preserve"> : </w:t>
            </w:r>
            <w:r w:rsidR="009771F0" w:rsidRPr="00394C65">
              <w:rPr>
                <w:rFonts w:ascii="Times New Roman" w:eastAsia="Times New Roman" w:hAnsi="Times New Roman" w:cs="Times New Roman"/>
                <w:sz w:val="20"/>
                <w:szCs w:val="20"/>
                <w:lang w:eastAsia="fr-FR"/>
              </w:rPr>
              <w:t xml:space="preserve">être </w:t>
            </w:r>
            <w:r w:rsidRPr="00394C65">
              <w:rPr>
                <w:rFonts w:ascii="Times New Roman" w:eastAsia="Times New Roman" w:hAnsi="Times New Roman" w:cs="Times New Roman"/>
                <w:sz w:val="20"/>
                <w:szCs w:val="20"/>
                <w:lang w:eastAsia="fr-FR"/>
              </w:rPr>
              <w:t xml:space="preserve">situé à une hauteur de 0,5m. Une proportion de 25% </w:t>
            </w:r>
            <w:r w:rsidR="009771F0" w:rsidRPr="00394C65">
              <w:rPr>
                <w:rFonts w:ascii="Times New Roman" w:eastAsia="Times New Roman" w:hAnsi="Times New Roman" w:cs="Times New Roman"/>
                <w:sz w:val="20"/>
                <w:szCs w:val="20"/>
                <w:lang w:eastAsia="fr-FR"/>
              </w:rPr>
              <w:t xml:space="preserve">d’équipements avec assise est </w:t>
            </w:r>
            <w:r w:rsidRPr="00394C65">
              <w:rPr>
                <w:rFonts w:ascii="Times New Roman" w:eastAsia="Times New Roman" w:hAnsi="Times New Roman" w:cs="Times New Roman"/>
                <w:sz w:val="20"/>
                <w:szCs w:val="20"/>
                <w:lang w:eastAsia="fr-FR"/>
              </w:rPr>
              <w:t>muni</w:t>
            </w:r>
            <w:r w:rsidR="009771F0" w:rsidRPr="00394C65">
              <w:rPr>
                <w:rFonts w:ascii="Times New Roman" w:eastAsia="Times New Roman" w:hAnsi="Times New Roman" w:cs="Times New Roman"/>
                <w:sz w:val="20"/>
                <w:szCs w:val="20"/>
                <w:lang w:eastAsia="fr-FR"/>
              </w:rPr>
              <w:t>e</w:t>
            </w:r>
            <w:r w:rsidRPr="00394C65">
              <w:rPr>
                <w:rFonts w:ascii="Times New Roman" w:eastAsia="Times New Roman" w:hAnsi="Times New Roman" w:cs="Times New Roman"/>
                <w:sz w:val="20"/>
                <w:szCs w:val="20"/>
                <w:lang w:eastAsia="fr-FR"/>
              </w:rPr>
              <w:t xml:space="preserve"> d’</w:t>
            </w:r>
            <w:r w:rsidR="00372E4D" w:rsidRPr="00394C65">
              <w:rPr>
                <w:rFonts w:ascii="Times New Roman" w:eastAsia="Times New Roman" w:hAnsi="Times New Roman" w:cs="Times New Roman"/>
                <w:sz w:val="20"/>
                <w:szCs w:val="20"/>
                <w:lang w:eastAsia="fr-FR"/>
              </w:rPr>
              <w:t>accoudoirs</w:t>
            </w:r>
            <w:r w:rsidRPr="00394C65">
              <w:rPr>
                <w:rFonts w:ascii="Times New Roman" w:eastAsia="Times New Roman" w:hAnsi="Times New Roman" w:cs="Times New Roman"/>
                <w:sz w:val="20"/>
                <w:szCs w:val="20"/>
                <w:lang w:eastAsia="fr-FR"/>
              </w:rPr>
              <w:t>.</w:t>
            </w:r>
          </w:p>
        </w:tc>
        <w:tc>
          <w:tcPr>
            <w:tcW w:w="4394" w:type="dxa"/>
          </w:tcPr>
          <w:p w14:paraId="30232807" w14:textId="5DB9F845" w:rsidR="00372E4D" w:rsidRPr="00394C65" w:rsidRDefault="00423318" w:rsidP="00835AB2">
            <w:pPr>
              <w:jc w:val="both"/>
              <w:rPr>
                <w:sz w:val="20"/>
                <w:szCs w:val="20"/>
              </w:rPr>
            </w:pPr>
            <w:r w:rsidRPr="00394C65">
              <w:rPr>
                <w:sz w:val="20"/>
                <w:szCs w:val="20"/>
              </w:rPr>
              <w:t xml:space="preserve">Remarque : </w:t>
            </w:r>
            <w:r w:rsidR="00372E4D" w:rsidRPr="00394C65">
              <w:rPr>
                <w:sz w:val="20"/>
                <w:szCs w:val="20"/>
              </w:rPr>
              <w:t xml:space="preserve">Le titre III prévoit que dans les bâtiments accessibles au public, au moins un des équipements publics à disposition des occupants ou usagers, tels que du mobilier de service, une boîte aux lettres ou un appareil permettant le libre-service, le paiement ou l’accès à l’information par des moyens électroniques doit être adapté aux </w:t>
            </w:r>
            <w:r w:rsidR="00916AF1" w:rsidRPr="00394C65">
              <w:rPr>
                <w:sz w:val="20"/>
                <w:szCs w:val="20"/>
              </w:rPr>
              <w:t>personnes à mobilité réduite</w:t>
            </w:r>
            <w:r w:rsidR="00372E4D" w:rsidRPr="00394C65">
              <w:rPr>
                <w:sz w:val="20"/>
                <w:szCs w:val="20"/>
              </w:rPr>
              <w:t>.</w:t>
            </w:r>
          </w:p>
          <w:p w14:paraId="4FC35548" w14:textId="2C5DC1B4" w:rsidR="00372E4D" w:rsidRPr="00394C65" w:rsidRDefault="00372E4D" w:rsidP="00835AB2">
            <w:pPr>
              <w:jc w:val="both"/>
              <w:rPr>
                <w:sz w:val="20"/>
                <w:szCs w:val="20"/>
              </w:rPr>
            </w:pPr>
          </w:p>
          <w:p w14:paraId="13AB829A" w14:textId="3968A9FD" w:rsidR="00372E4D" w:rsidRPr="00394C65" w:rsidRDefault="00372E4D" w:rsidP="00835AB2">
            <w:pPr>
              <w:jc w:val="both"/>
              <w:rPr>
                <w:sz w:val="20"/>
                <w:szCs w:val="20"/>
              </w:rPr>
            </w:pPr>
            <w:r w:rsidRPr="00394C65">
              <w:rPr>
                <w:sz w:val="20"/>
                <w:szCs w:val="20"/>
              </w:rPr>
              <w:t xml:space="preserve">Pour garantir l’autonomie et le confort d’usage de tout individu lorsqu’il utilise ou manipule une commande ou un équipement, il </w:t>
            </w:r>
            <w:r w:rsidR="0019501F" w:rsidRPr="00394C65">
              <w:rPr>
                <w:sz w:val="20"/>
                <w:szCs w:val="20"/>
              </w:rPr>
              <w:t>faut</w:t>
            </w:r>
            <w:r w:rsidRPr="00394C65">
              <w:rPr>
                <w:sz w:val="20"/>
                <w:szCs w:val="20"/>
              </w:rPr>
              <w:t xml:space="preserve"> veiller à leur emplacement (en hauteur ainsi que par rapport à un mur contigu…) et à leurs caractéristiques</w:t>
            </w:r>
            <w:r w:rsidR="002237E5" w:rsidRPr="00394C65">
              <w:rPr>
                <w:sz w:val="20"/>
                <w:szCs w:val="20"/>
              </w:rPr>
              <w:t>.</w:t>
            </w:r>
            <w:r w:rsidRPr="00394C65">
              <w:rPr>
                <w:sz w:val="20"/>
                <w:szCs w:val="20"/>
              </w:rPr>
              <w:t xml:space="preserve"> </w:t>
            </w:r>
          </w:p>
          <w:p w14:paraId="42DF196A" w14:textId="715C2380" w:rsidR="002237E5" w:rsidRPr="00394C65" w:rsidRDefault="002237E5" w:rsidP="004B1319">
            <w:pPr>
              <w:jc w:val="both"/>
              <w:rPr>
                <w:sz w:val="20"/>
                <w:szCs w:val="20"/>
              </w:rPr>
            </w:pPr>
            <w:r w:rsidRPr="00394C65">
              <w:rPr>
                <w:sz w:val="20"/>
                <w:szCs w:val="20"/>
              </w:rPr>
              <w:t>C</w:t>
            </w:r>
            <w:r w:rsidR="00372E4D" w:rsidRPr="00394C65">
              <w:rPr>
                <w:sz w:val="20"/>
                <w:szCs w:val="20"/>
              </w:rPr>
              <w:t xml:space="preserve">es équipements </w:t>
            </w:r>
            <w:r w:rsidR="0019501F" w:rsidRPr="00394C65">
              <w:rPr>
                <w:sz w:val="20"/>
                <w:szCs w:val="20"/>
              </w:rPr>
              <w:t>sont</w:t>
            </w:r>
            <w:r w:rsidR="00372E4D" w:rsidRPr="00394C65">
              <w:rPr>
                <w:sz w:val="20"/>
                <w:szCs w:val="20"/>
              </w:rPr>
              <w:t xml:space="preserve"> placés à une certaine hauteur (d’atteinte et de préhension : il est important de placer un dispositif dans la zone d’atteinte et de préhension correspondant au plus grand nombre</w:t>
            </w:r>
            <w:r w:rsidR="0019501F" w:rsidRPr="00394C65">
              <w:rPr>
                <w:sz w:val="20"/>
                <w:szCs w:val="20"/>
              </w:rPr>
              <w:t>)</w:t>
            </w:r>
            <w:r w:rsidRPr="00394C65">
              <w:rPr>
                <w:sz w:val="20"/>
                <w:szCs w:val="20"/>
              </w:rPr>
              <w:t xml:space="preserve"> et </w:t>
            </w:r>
            <w:r w:rsidR="0019501F" w:rsidRPr="00394C65">
              <w:rPr>
                <w:sz w:val="20"/>
                <w:szCs w:val="20"/>
              </w:rPr>
              <w:t>ont un</w:t>
            </w:r>
            <w:r w:rsidRPr="00394C65">
              <w:rPr>
                <w:sz w:val="20"/>
                <w:szCs w:val="20"/>
              </w:rPr>
              <w:t xml:space="preserve"> usage intuitif ou un mode d’emploi facile à comprendre. De plus il est important de prévoir une ergonomie pour faciliter la manipulation du dispositif ainsi que de prévoir un doublage visuel et/ou sonore de toute information liée au dispositif à l’intention des personnes déficientes sensorielles ; </w:t>
            </w:r>
          </w:p>
          <w:p w14:paraId="58F54445" w14:textId="6DA55801" w:rsidR="00E508F2" w:rsidRPr="00394C65" w:rsidRDefault="002237E5" w:rsidP="002237E5">
            <w:pPr>
              <w:jc w:val="both"/>
              <w:rPr>
                <w:sz w:val="20"/>
                <w:szCs w:val="20"/>
              </w:rPr>
            </w:pPr>
            <w:r w:rsidRPr="00394C65">
              <w:rPr>
                <w:sz w:val="20"/>
                <w:szCs w:val="20"/>
              </w:rPr>
              <w:t> </w:t>
            </w:r>
            <w:r w:rsidR="00372E4D" w:rsidRPr="00394C65">
              <w:rPr>
                <w:sz w:val="20"/>
                <w:szCs w:val="20"/>
              </w:rPr>
              <w:t xml:space="preserve"> </w:t>
            </w:r>
            <w:r w:rsidRPr="00394C65">
              <w:rPr>
                <w:sz w:val="20"/>
                <w:szCs w:val="20"/>
              </w:rPr>
              <w:t xml:space="preserve"> Il est également recommandé de </w:t>
            </w:r>
            <w:r w:rsidR="00372E4D" w:rsidRPr="00394C65">
              <w:rPr>
                <w:sz w:val="20"/>
                <w:szCs w:val="20"/>
              </w:rPr>
              <w:t xml:space="preserve">prévoir une profondeur de dégagement sous toute tablette éventuelle afin de pouvoir se positionner correctement ;  </w:t>
            </w:r>
          </w:p>
        </w:tc>
      </w:tr>
      <w:tr w:rsidR="00394C65" w:rsidRPr="00394C65" w14:paraId="2A9F2FAC" w14:textId="77777777" w:rsidTr="00650100">
        <w:tc>
          <w:tcPr>
            <w:tcW w:w="9776" w:type="dxa"/>
          </w:tcPr>
          <w:p w14:paraId="1B3026E3" w14:textId="60C9670F" w:rsidR="006F5947" w:rsidRPr="00394C65" w:rsidRDefault="006F5947" w:rsidP="00835AB2">
            <w:pPr>
              <w:jc w:val="both"/>
              <w:rPr>
                <w:sz w:val="20"/>
                <w:szCs w:val="20"/>
              </w:rPr>
            </w:pPr>
            <w:r w:rsidRPr="00394C65">
              <w:rPr>
                <w:b/>
                <w:sz w:val="20"/>
                <w:szCs w:val="20"/>
              </w:rPr>
              <w:t xml:space="preserve">Article </w:t>
            </w:r>
            <w:r w:rsidR="009771F0" w:rsidRPr="00394C65">
              <w:rPr>
                <w:b/>
                <w:sz w:val="20"/>
                <w:szCs w:val="20"/>
              </w:rPr>
              <w:t xml:space="preserve">17 </w:t>
            </w:r>
            <w:r w:rsidRPr="00394C65">
              <w:rPr>
                <w:b/>
                <w:sz w:val="20"/>
                <w:szCs w:val="20"/>
              </w:rPr>
              <w:t xml:space="preserve">- Toilettes </w:t>
            </w:r>
          </w:p>
        </w:tc>
        <w:tc>
          <w:tcPr>
            <w:tcW w:w="4394" w:type="dxa"/>
          </w:tcPr>
          <w:p w14:paraId="21508F89" w14:textId="77777777" w:rsidR="006F5947" w:rsidRPr="00394C65" w:rsidRDefault="006F5947" w:rsidP="00835AB2">
            <w:pPr>
              <w:jc w:val="both"/>
              <w:rPr>
                <w:sz w:val="20"/>
                <w:szCs w:val="20"/>
              </w:rPr>
            </w:pPr>
          </w:p>
        </w:tc>
      </w:tr>
      <w:tr w:rsidR="00394C65" w:rsidRPr="00394C65" w14:paraId="40EE3F1D" w14:textId="77777777" w:rsidTr="00650100">
        <w:tc>
          <w:tcPr>
            <w:tcW w:w="9776" w:type="dxa"/>
          </w:tcPr>
          <w:p w14:paraId="7BC10AD3" w14:textId="575F9CCC" w:rsidR="006F5947" w:rsidRPr="00394C65" w:rsidRDefault="006F5947" w:rsidP="00835AB2">
            <w:pPr>
              <w:jc w:val="both"/>
              <w:rPr>
                <w:sz w:val="20"/>
                <w:szCs w:val="20"/>
              </w:rPr>
            </w:pPr>
            <w:r w:rsidRPr="00394C65">
              <w:rPr>
                <w:sz w:val="20"/>
                <w:szCs w:val="20"/>
              </w:rPr>
              <w:t>§ 1. La toilette comporte un lavabo et a des dimensions intérieures minimales de 1,65 m x 2,20 m.</w:t>
            </w:r>
          </w:p>
          <w:p w14:paraId="0A0F1B06" w14:textId="008C71A7" w:rsidR="006F5947" w:rsidRPr="00394C65" w:rsidRDefault="006F5947" w:rsidP="00835AB2">
            <w:pPr>
              <w:jc w:val="both"/>
              <w:rPr>
                <w:sz w:val="20"/>
                <w:szCs w:val="20"/>
              </w:rPr>
            </w:pPr>
          </w:p>
          <w:p w14:paraId="26F0B730" w14:textId="777AC811" w:rsidR="006F5947" w:rsidRPr="00394C65" w:rsidRDefault="006F5947" w:rsidP="00835AB2">
            <w:pPr>
              <w:jc w:val="both"/>
              <w:rPr>
                <w:sz w:val="20"/>
                <w:szCs w:val="20"/>
              </w:rPr>
            </w:pPr>
            <w:r w:rsidRPr="00394C65">
              <w:rPr>
                <w:sz w:val="20"/>
                <w:szCs w:val="20"/>
              </w:rPr>
              <w:t xml:space="preserve">La porte s’ouvre vers l’extérieur du local. </w:t>
            </w:r>
          </w:p>
          <w:p w14:paraId="37C94427" w14:textId="77777777" w:rsidR="006F5947" w:rsidRPr="00394C65" w:rsidRDefault="006F5947" w:rsidP="00835AB2">
            <w:pPr>
              <w:jc w:val="both"/>
              <w:rPr>
                <w:sz w:val="20"/>
                <w:szCs w:val="20"/>
              </w:rPr>
            </w:pPr>
          </w:p>
          <w:p w14:paraId="3F485D9E" w14:textId="24D0E72B" w:rsidR="006F5947" w:rsidRPr="00394C65" w:rsidRDefault="006F5947" w:rsidP="00835AB2">
            <w:pPr>
              <w:jc w:val="both"/>
              <w:rPr>
                <w:sz w:val="20"/>
                <w:szCs w:val="20"/>
              </w:rPr>
            </w:pPr>
            <w:r w:rsidRPr="00394C65">
              <w:rPr>
                <w:sz w:val="20"/>
                <w:szCs w:val="20"/>
              </w:rPr>
              <w:t>Elle comprend les espaces libres d’obstacle suivants qui peuvent empiéter l’un sur l’autre :</w:t>
            </w:r>
          </w:p>
          <w:p w14:paraId="563C3AE2" w14:textId="7B2E1DD0" w:rsidR="006F5947" w:rsidRPr="00394C65" w:rsidRDefault="006F5947" w:rsidP="00835AB2">
            <w:pPr>
              <w:numPr>
                <w:ilvl w:val="0"/>
                <w:numId w:val="38"/>
              </w:numPr>
              <w:tabs>
                <w:tab w:val="left" w:pos="314"/>
              </w:tabs>
              <w:ind w:left="314" w:hanging="314"/>
              <w:jc w:val="both"/>
              <w:rPr>
                <w:sz w:val="20"/>
                <w:szCs w:val="20"/>
              </w:rPr>
            </w:pPr>
            <w:r w:rsidRPr="00394C65">
              <w:rPr>
                <w:sz w:val="20"/>
                <w:szCs w:val="20"/>
              </w:rPr>
              <w:lastRenderedPageBreak/>
              <w:t xml:space="preserve">une aire de rotation qui peut comprendre l’espace libre sous le lavabo à </w:t>
            </w:r>
            <w:r w:rsidR="007D2507" w:rsidRPr="00394C65">
              <w:rPr>
                <w:sz w:val="20"/>
                <w:szCs w:val="20"/>
              </w:rPr>
              <w:t xml:space="preserve">la </w:t>
            </w:r>
            <w:r w:rsidRPr="00394C65">
              <w:rPr>
                <w:sz w:val="20"/>
                <w:szCs w:val="20"/>
              </w:rPr>
              <w:t xml:space="preserve">condition </w:t>
            </w:r>
            <w:r w:rsidR="007D2507" w:rsidRPr="00394C65">
              <w:rPr>
                <w:sz w:val="20"/>
                <w:szCs w:val="20"/>
              </w:rPr>
              <w:t xml:space="preserve">que ce lavabo </w:t>
            </w:r>
            <w:r w:rsidRPr="00394C65">
              <w:rPr>
                <w:sz w:val="20"/>
                <w:szCs w:val="20"/>
              </w:rPr>
              <w:t>présente une hauteur minimale de 0,70 m ;</w:t>
            </w:r>
          </w:p>
          <w:p w14:paraId="5FABCAB0" w14:textId="77777777" w:rsidR="006F5947" w:rsidRPr="00394C65" w:rsidRDefault="006F5947" w:rsidP="00835AB2">
            <w:pPr>
              <w:numPr>
                <w:ilvl w:val="0"/>
                <w:numId w:val="38"/>
              </w:numPr>
              <w:tabs>
                <w:tab w:val="left" w:pos="314"/>
              </w:tabs>
              <w:ind w:left="314" w:hanging="314"/>
              <w:jc w:val="both"/>
              <w:rPr>
                <w:sz w:val="20"/>
                <w:szCs w:val="20"/>
              </w:rPr>
            </w:pPr>
            <w:r w:rsidRPr="00394C65">
              <w:rPr>
                <w:sz w:val="20"/>
                <w:szCs w:val="20"/>
              </w:rPr>
              <w:t>une aire de transfert située dans l’axe de la porte, présentant une profondeur minimale de 1,30 m et une largeur minimale de 1,10 m mesurée à partir de l’axe de la cuvette ;</w:t>
            </w:r>
          </w:p>
          <w:p w14:paraId="5C8BB2EE" w14:textId="3C0FBCEC" w:rsidR="006F5947" w:rsidRPr="00394C65" w:rsidRDefault="006F5947" w:rsidP="00835AB2">
            <w:pPr>
              <w:numPr>
                <w:ilvl w:val="0"/>
                <w:numId w:val="38"/>
              </w:numPr>
              <w:tabs>
                <w:tab w:val="left" w:pos="314"/>
              </w:tabs>
              <w:ind w:left="314" w:hanging="314"/>
              <w:jc w:val="both"/>
              <w:rPr>
                <w:sz w:val="20"/>
                <w:szCs w:val="20"/>
              </w:rPr>
            </w:pPr>
            <w:r w:rsidRPr="00394C65">
              <w:rPr>
                <w:sz w:val="20"/>
                <w:szCs w:val="20"/>
              </w:rPr>
              <w:t xml:space="preserve">un passage </w:t>
            </w:r>
            <w:r w:rsidR="007D2507" w:rsidRPr="00394C65">
              <w:rPr>
                <w:sz w:val="20"/>
                <w:szCs w:val="20"/>
              </w:rPr>
              <w:t xml:space="preserve">libre </w:t>
            </w:r>
            <w:r w:rsidRPr="00394C65">
              <w:rPr>
                <w:sz w:val="20"/>
                <w:szCs w:val="20"/>
              </w:rPr>
              <w:t>d’une largeur minimale de 0,80 m entre la cuvette et le lavabo.</w:t>
            </w:r>
          </w:p>
          <w:p w14:paraId="765C2B00" w14:textId="77777777" w:rsidR="006F5947" w:rsidRPr="00394C65" w:rsidRDefault="006F5947" w:rsidP="00835AB2">
            <w:pPr>
              <w:ind w:left="720"/>
              <w:jc w:val="both"/>
              <w:rPr>
                <w:sz w:val="20"/>
                <w:szCs w:val="20"/>
              </w:rPr>
            </w:pPr>
          </w:p>
          <w:p w14:paraId="48EA9756" w14:textId="77777777" w:rsidR="006F5947" w:rsidRPr="00394C65" w:rsidRDefault="006F5947" w:rsidP="00835AB2">
            <w:pPr>
              <w:jc w:val="both"/>
              <w:rPr>
                <w:sz w:val="20"/>
                <w:szCs w:val="20"/>
              </w:rPr>
            </w:pPr>
            <w:r w:rsidRPr="00394C65">
              <w:rPr>
                <w:sz w:val="20"/>
                <w:szCs w:val="20"/>
              </w:rPr>
              <w:t>§ 2. La toilette est équipée de deux barres d’appui horizontales d’une longueur minimale de 0,80 m, placées de part et d’autre du siège de la cuvette à une distance de 0,35 m mesurée à partir de son axe.</w:t>
            </w:r>
          </w:p>
          <w:p w14:paraId="6ABC8D4A" w14:textId="77777777" w:rsidR="006F5947" w:rsidRPr="00394C65" w:rsidRDefault="006F5947" w:rsidP="00835AB2">
            <w:pPr>
              <w:jc w:val="both"/>
              <w:rPr>
                <w:sz w:val="20"/>
                <w:szCs w:val="20"/>
              </w:rPr>
            </w:pPr>
          </w:p>
          <w:p w14:paraId="5E8541EC" w14:textId="7573C74C" w:rsidR="006F5947" w:rsidRPr="00394C65" w:rsidRDefault="006F5947" w:rsidP="00835AB2">
            <w:pPr>
              <w:jc w:val="both"/>
              <w:rPr>
                <w:sz w:val="20"/>
                <w:szCs w:val="20"/>
              </w:rPr>
            </w:pPr>
            <w:r w:rsidRPr="00394C65">
              <w:rPr>
                <w:sz w:val="20"/>
                <w:szCs w:val="20"/>
              </w:rPr>
              <w:t>§ 3. Le lavabo a une profondeur minimale de 0,</w:t>
            </w:r>
            <w:r w:rsidR="005F0732" w:rsidRPr="00394C65">
              <w:rPr>
                <w:sz w:val="20"/>
                <w:szCs w:val="20"/>
              </w:rPr>
              <w:t>55</w:t>
            </w:r>
            <w:r w:rsidRPr="00394C65">
              <w:rPr>
                <w:sz w:val="20"/>
                <w:szCs w:val="20"/>
              </w:rPr>
              <w:t xml:space="preserve"> m et l’espace sous celui-ci est laissé libre d’obstacle.</w:t>
            </w:r>
          </w:p>
          <w:p w14:paraId="393EE61B" w14:textId="77777777" w:rsidR="006F5947" w:rsidRPr="00394C65" w:rsidRDefault="006F5947" w:rsidP="00835AB2">
            <w:pPr>
              <w:jc w:val="both"/>
              <w:rPr>
                <w:sz w:val="20"/>
                <w:szCs w:val="20"/>
              </w:rPr>
            </w:pPr>
          </w:p>
          <w:p w14:paraId="3D0E7ED0" w14:textId="77777777" w:rsidR="006F5947" w:rsidRPr="00394C65" w:rsidRDefault="006F5947" w:rsidP="00835AB2">
            <w:pPr>
              <w:jc w:val="both"/>
              <w:rPr>
                <w:sz w:val="20"/>
                <w:szCs w:val="20"/>
              </w:rPr>
            </w:pPr>
            <w:r w:rsidRPr="00394C65">
              <w:rPr>
                <w:sz w:val="20"/>
                <w:szCs w:val="20"/>
              </w:rPr>
              <w:t>Sa robinetterie est placée à une distance minimale de 0,50 m, mesurée à partir de son axe, de toute paroi adjacente.</w:t>
            </w:r>
          </w:p>
          <w:p w14:paraId="32F2CC7E" w14:textId="77777777" w:rsidR="006F5947" w:rsidRPr="00394C65" w:rsidRDefault="006F5947" w:rsidP="00835AB2">
            <w:pPr>
              <w:jc w:val="both"/>
              <w:rPr>
                <w:sz w:val="20"/>
                <w:szCs w:val="20"/>
              </w:rPr>
            </w:pPr>
          </w:p>
          <w:p w14:paraId="0619008E" w14:textId="4C545755" w:rsidR="006F5947" w:rsidRPr="00394C65" w:rsidRDefault="006F5947" w:rsidP="00835AB2">
            <w:pPr>
              <w:jc w:val="both"/>
              <w:rPr>
                <w:sz w:val="20"/>
                <w:szCs w:val="20"/>
              </w:rPr>
            </w:pPr>
            <w:r w:rsidRPr="00394C65">
              <w:rPr>
                <w:sz w:val="20"/>
                <w:szCs w:val="20"/>
              </w:rPr>
              <w:t>§ 4. Le croquis n°2 en annexe illustre le présent article.</w:t>
            </w:r>
          </w:p>
        </w:tc>
        <w:tc>
          <w:tcPr>
            <w:tcW w:w="4394" w:type="dxa"/>
          </w:tcPr>
          <w:p w14:paraId="25935BCD" w14:textId="333AB3B8" w:rsidR="004365DF" w:rsidRPr="00394C65" w:rsidRDefault="00423318" w:rsidP="00835AB2">
            <w:pPr>
              <w:jc w:val="both"/>
              <w:rPr>
                <w:sz w:val="20"/>
                <w:szCs w:val="20"/>
              </w:rPr>
            </w:pPr>
            <w:r w:rsidRPr="00394C65">
              <w:rPr>
                <w:sz w:val="20"/>
                <w:szCs w:val="20"/>
              </w:rPr>
              <w:lastRenderedPageBreak/>
              <w:t xml:space="preserve">Remarque : </w:t>
            </w:r>
            <w:r w:rsidR="004365DF" w:rsidRPr="00394C65">
              <w:rPr>
                <w:sz w:val="20"/>
                <w:szCs w:val="20"/>
              </w:rPr>
              <w:t xml:space="preserve">L’article 8 du titre I prévoit ce qui suit : </w:t>
            </w:r>
            <w:r w:rsidR="004365DF" w:rsidRPr="00394C65">
              <w:rPr>
                <w:bCs/>
                <w:sz w:val="20"/>
                <w:szCs w:val="20"/>
              </w:rPr>
              <w:t>« L’espace ouvert public dispose de zones de repos et de rencontre en nombre suffisant. Ces zones sont équipées de bancs ou d’autres dispositifs permettant l’assise et sont aménagées de manière conviviale et inclusive.</w:t>
            </w:r>
          </w:p>
          <w:p w14:paraId="213599E5" w14:textId="77777777" w:rsidR="004365DF" w:rsidRPr="00394C65" w:rsidRDefault="004365DF" w:rsidP="00835AB2">
            <w:pPr>
              <w:jc w:val="both"/>
              <w:rPr>
                <w:bCs/>
                <w:sz w:val="20"/>
                <w:szCs w:val="20"/>
              </w:rPr>
            </w:pPr>
            <w:r w:rsidRPr="00394C65">
              <w:rPr>
                <w:bCs/>
                <w:sz w:val="20"/>
                <w:szCs w:val="20"/>
              </w:rPr>
              <w:lastRenderedPageBreak/>
              <w:t xml:space="preserve">  </w:t>
            </w:r>
          </w:p>
          <w:p w14:paraId="205DB88A" w14:textId="27450357" w:rsidR="004365DF" w:rsidRPr="00394C65" w:rsidRDefault="004365DF" w:rsidP="00835AB2">
            <w:pPr>
              <w:jc w:val="both"/>
              <w:rPr>
                <w:bCs/>
                <w:sz w:val="20"/>
                <w:szCs w:val="20"/>
              </w:rPr>
            </w:pPr>
            <w:r w:rsidRPr="00394C65">
              <w:rPr>
                <w:bCs/>
                <w:sz w:val="20"/>
                <w:szCs w:val="20"/>
              </w:rPr>
              <w:t>Les lieux de grande fréquentation disposent d’équipements complémentaires, tels que des toilettes publiques, des fontaines d’eau potable et/ou des espaces de jeux pour les enfants. »</w:t>
            </w:r>
          </w:p>
          <w:p w14:paraId="06EB67F1" w14:textId="77777777" w:rsidR="004365DF" w:rsidRPr="00394C65" w:rsidRDefault="004365DF" w:rsidP="00835AB2">
            <w:pPr>
              <w:jc w:val="both"/>
              <w:rPr>
                <w:sz w:val="20"/>
                <w:szCs w:val="20"/>
              </w:rPr>
            </w:pPr>
          </w:p>
          <w:p w14:paraId="0FFF2F5E" w14:textId="6E0D56C2" w:rsidR="004365DF" w:rsidRPr="00394C65" w:rsidRDefault="004365DF" w:rsidP="00835AB2">
            <w:pPr>
              <w:jc w:val="both"/>
              <w:rPr>
                <w:sz w:val="20"/>
                <w:szCs w:val="20"/>
              </w:rPr>
            </w:pPr>
            <w:r w:rsidRPr="00394C65">
              <w:rPr>
                <w:sz w:val="20"/>
                <w:szCs w:val="20"/>
              </w:rPr>
              <w:t xml:space="preserve">Le titre III prévoit que dans les bâtiments accessibles au public, au moins une toilette par tanche entamée de 20 toilettes doit être adaptée aux </w:t>
            </w:r>
            <w:r w:rsidR="00916AF1" w:rsidRPr="00394C65">
              <w:rPr>
                <w:sz w:val="20"/>
                <w:szCs w:val="20"/>
              </w:rPr>
              <w:t>personnes à mobilité réduite</w:t>
            </w:r>
            <w:r w:rsidRPr="00394C65">
              <w:rPr>
                <w:sz w:val="20"/>
                <w:szCs w:val="20"/>
              </w:rPr>
              <w:t xml:space="preserve">. </w:t>
            </w:r>
          </w:p>
          <w:p w14:paraId="0836FF56" w14:textId="1DCE1AEB" w:rsidR="004365DF" w:rsidRPr="00394C65" w:rsidRDefault="004365DF" w:rsidP="00835AB2">
            <w:pPr>
              <w:jc w:val="both"/>
              <w:rPr>
                <w:sz w:val="20"/>
                <w:szCs w:val="20"/>
              </w:rPr>
            </w:pPr>
          </w:p>
        </w:tc>
      </w:tr>
      <w:tr w:rsidR="00394C65" w:rsidRPr="00394C65" w14:paraId="50E7448E" w14:textId="77777777" w:rsidTr="00650100">
        <w:tc>
          <w:tcPr>
            <w:tcW w:w="9776" w:type="dxa"/>
          </w:tcPr>
          <w:p w14:paraId="1ACAAA6F" w14:textId="6D72CE17" w:rsidR="006F5947" w:rsidRPr="00394C65" w:rsidRDefault="006F5947" w:rsidP="00835AB2">
            <w:pPr>
              <w:jc w:val="both"/>
              <w:rPr>
                <w:sz w:val="20"/>
                <w:szCs w:val="20"/>
              </w:rPr>
            </w:pPr>
            <w:r w:rsidRPr="00394C65">
              <w:rPr>
                <w:b/>
                <w:sz w:val="20"/>
                <w:szCs w:val="20"/>
              </w:rPr>
              <w:t xml:space="preserve">Article </w:t>
            </w:r>
            <w:r w:rsidR="005713BA" w:rsidRPr="00394C65">
              <w:rPr>
                <w:b/>
                <w:sz w:val="20"/>
                <w:szCs w:val="20"/>
              </w:rPr>
              <w:t xml:space="preserve">18 </w:t>
            </w:r>
            <w:r w:rsidRPr="00394C65">
              <w:rPr>
                <w:b/>
                <w:sz w:val="20"/>
                <w:szCs w:val="20"/>
              </w:rPr>
              <w:t xml:space="preserve">- Salles de bain </w:t>
            </w:r>
            <w:r w:rsidR="007D2507" w:rsidRPr="00394C65">
              <w:rPr>
                <w:b/>
                <w:sz w:val="20"/>
                <w:szCs w:val="20"/>
              </w:rPr>
              <w:t>et</w:t>
            </w:r>
            <w:r w:rsidRPr="00394C65">
              <w:rPr>
                <w:b/>
                <w:sz w:val="20"/>
                <w:szCs w:val="20"/>
              </w:rPr>
              <w:t xml:space="preserve"> cabines de douche</w:t>
            </w:r>
          </w:p>
        </w:tc>
        <w:tc>
          <w:tcPr>
            <w:tcW w:w="4394" w:type="dxa"/>
          </w:tcPr>
          <w:p w14:paraId="6BF92AAE" w14:textId="77777777" w:rsidR="006F5947" w:rsidRPr="00394C65" w:rsidRDefault="006F5947" w:rsidP="00835AB2">
            <w:pPr>
              <w:jc w:val="both"/>
              <w:rPr>
                <w:sz w:val="20"/>
                <w:szCs w:val="20"/>
              </w:rPr>
            </w:pPr>
          </w:p>
        </w:tc>
      </w:tr>
      <w:tr w:rsidR="00394C65" w:rsidRPr="00394C65" w14:paraId="0CA869B7" w14:textId="77777777" w:rsidTr="00650100">
        <w:tc>
          <w:tcPr>
            <w:tcW w:w="9776" w:type="dxa"/>
          </w:tcPr>
          <w:p w14:paraId="6589BAC6" w14:textId="10C6442B" w:rsidR="006F5947" w:rsidRPr="00394C65" w:rsidRDefault="006F5947" w:rsidP="00835AB2">
            <w:pPr>
              <w:jc w:val="both"/>
              <w:rPr>
                <w:sz w:val="20"/>
                <w:szCs w:val="20"/>
              </w:rPr>
            </w:pPr>
            <w:r w:rsidRPr="00394C65">
              <w:rPr>
                <w:sz w:val="20"/>
                <w:szCs w:val="20"/>
              </w:rPr>
              <w:t>§ 1</w:t>
            </w:r>
            <w:r w:rsidR="007D2507" w:rsidRPr="00394C65">
              <w:rPr>
                <w:sz w:val="20"/>
                <w:szCs w:val="20"/>
                <w:vertAlign w:val="superscript"/>
              </w:rPr>
              <w:t>er</w:t>
            </w:r>
            <w:r w:rsidRPr="00394C65">
              <w:rPr>
                <w:sz w:val="20"/>
                <w:szCs w:val="20"/>
              </w:rPr>
              <w:t xml:space="preserve">. La salle de bain ou de douche comprend une aire de rotation qui peut empiéter sur l’aire d’approche et/ou l’aire de transfert visées aux </w:t>
            </w:r>
            <w:r w:rsidR="005713BA" w:rsidRPr="00394C65">
              <w:rPr>
                <w:sz w:val="20"/>
                <w:szCs w:val="20"/>
              </w:rPr>
              <w:t>paragraphes 2 et 3</w:t>
            </w:r>
            <w:r w:rsidRPr="00394C65">
              <w:rPr>
                <w:sz w:val="20"/>
                <w:szCs w:val="20"/>
              </w:rPr>
              <w:t xml:space="preserve"> respectivement.</w:t>
            </w:r>
          </w:p>
          <w:p w14:paraId="6FCF2FAB" w14:textId="77777777" w:rsidR="006F5947" w:rsidRPr="00394C65" w:rsidRDefault="006F5947" w:rsidP="00835AB2">
            <w:pPr>
              <w:jc w:val="both"/>
              <w:rPr>
                <w:sz w:val="20"/>
                <w:szCs w:val="20"/>
              </w:rPr>
            </w:pPr>
          </w:p>
          <w:p w14:paraId="7A64A8FB" w14:textId="77777777" w:rsidR="006F5947" w:rsidRPr="00394C65" w:rsidRDefault="006F5947" w:rsidP="00835AB2">
            <w:pPr>
              <w:jc w:val="both"/>
              <w:rPr>
                <w:sz w:val="20"/>
                <w:szCs w:val="20"/>
              </w:rPr>
            </w:pPr>
            <w:r w:rsidRPr="00394C65">
              <w:rPr>
                <w:sz w:val="20"/>
                <w:szCs w:val="20"/>
              </w:rPr>
              <w:t>§ 2. La baignoire respecte les conditions suivantes :</w:t>
            </w:r>
          </w:p>
          <w:p w14:paraId="02B39AC0" w14:textId="77777777" w:rsidR="006F5947" w:rsidRPr="00394C65" w:rsidRDefault="006F5947" w:rsidP="00835AB2">
            <w:pPr>
              <w:numPr>
                <w:ilvl w:val="0"/>
                <w:numId w:val="39"/>
              </w:numPr>
              <w:jc w:val="both"/>
              <w:rPr>
                <w:sz w:val="20"/>
                <w:szCs w:val="20"/>
              </w:rPr>
            </w:pPr>
            <w:r w:rsidRPr="00394C65">
              <w:rPr>
                <w:sz w:val="20"/>
                <w:szCs w:val="20"/>
              </w:rPr>
              <w:t>avoir une largeur et une longueur minimales de 0,70 m et 1,70 m respectivement ;</w:t>
            </w:r>
          </w:p>
          <w:p w14:paraId="3F446B14" w14:textId="77777777" w:rsidR="006F5947" w:rsidRPr="00394C65" w:rsidRDefault="006F5947" w:rsidP="00835AB2">
            <w:pPr>
              <w:numPr>
                <w:ilvl w:val="0"/>
                <w:numId w:val="39"/>
              </w:numPr>
              <w:jc w:val="both"/>
              <w:rPr>
                <w:sz w:val="20"/>
                <w:szCs w:val="20"/>
              </w:rPr>
            </w:pPr>
            <w:r w:rsidRPr="00394C65">
              <w:rPr>
                <w:sz w:val="20"/>
                <w:szCs w:val="20"/>
              </w:rPr>
              <w:t>présenter sur sa longueur une aire d’approche d’une largeur minimale de 0,90 m ;</w:t>
            </w:r>
          </w:p>
          <w:p w14:paraId="3ECCA201" w14:textId="77777777" w:rsidR="006F5947" w:rsidRPr="00394C65" w:rsidRDefault="006F5947" w:rsidP="00835AB2">
            <w:pPr>
              <w:numPr>
                <w:ilvl w:val="0"/>
                <w:numId w:val="39"/>
              </w:numPr>
              <w:jc w:val="both"/>
              <w:rPr>
                <w:sz w:val="20"/>
                <w:szCs w:val="20"/>
              </w:rPr>
            </w:pPr>
            <w:r w:rsidRPr="00394C65">
              <w:rPr>
                <w:sz w:val="20"/>
                <w:szCs w:val="20"/>
              </w:rPr>
              <w:t>être prolongée à sa tête par une tablette de transfert accessible depuis l’aire d’approche, présentant une longueur minimale de 0,50 m et une largeur identique à celle de la baignoire ;</w:t>
            </w:r>
          </w:p>
          <w:p w14:paraId="4B6FD2A2" w14:textId="77777777" w:rsidR="006F5947" w:rsidRPr="00394C65" w:rsidRDefault="006F5947" w:rsidP="00835AB2">
            <w:pPr>
              <w:numPr>
                <w:ilvl w:val="0"/>
                <w:numId w:val="39"/>
              </w:numPr>
              <w:jc w:val="both"/>
              <w:rPr>
                <w:sz w:val="20"/>
                <w:szCs w:val="20"/>
              </w:rPr>
            </w:pPr>
            <w:r w:rsidRPr="00394C65">
              <w:rPr>
                <w:sz w:val="20"/>
                <w:szCs w:val="20"/>
              </w:rPr>
              <w:t>être équipée d’une barre d’appui horizontale d’une longueur minimale de 0,90 m et d’une robinetterie placées sur la paroi située le long de la baignoire.</w:t>
            </w:r>
          </w:p>
          <w:p w14:paraId="1BF07BA0" w14:textId="77777777" w:rsidR="006F5947" w:rsidRPr="00394C65" w:rsidRDefault="006F5947" w:rsidP="00835AB2">
            <w:pPr>
              <w:ind w:left="720"/>
              <w:jc w:val="both"/>
              <w:rPr>
                <w:sz w:val="20"/>
                <w:szCs w:val="20"/>
              </w:rPr>
            </w:pPr>
          </w:p>
          <w:p w14:paraId="73C37CBE" w14:textId="77777777" w:rsidR="006F5947" w:rsidRPr="00394C65" w:rsidRDefault="006F5947" w:rsidP="00835AB2">
            <w:pPr>
              <w:jc w:val="both"/>
              <w:rPr>
                <w:sz w:val="20"/>
                <w:szCs w:val="20"/>
              </w:rPr>
            </w:pPr>
            <w:r w:rsidRPr="00394C65">
              <w:rPr>
                <w:sz w:val="20"/>
                <w:szCs w:val="20"/>
              </w:rPr>
              <w:t>§ 3. La cabine de douche respecte les conditions suivantes :</w:t>
            </w:r>
          </w:p>
          <w:p w14:paraId="2D957A23" w14:textId="77777777" w:rsidR="006F5947" w:rsidRPr="00394C65" w:rsidRDefault="006F5947" w:rsidP="00835AB2">
            <w:pPr>
              <w:numPr>
                <w:ilvl w:val="0"/>
                <w:numId w:val="40"/>
              </w:numPr>
              <w:jc w:val="both"/>
              <w:rPr>
                <w:sz w:val="20"/>
                <w:szCs w:val="20"/>
              </w:rPr>
            </w:pPr>
            <w:r w:rsidRPr="00394C65">
              <w:rPr>
                <w:sz w:val="20"/>
                <w:szCs w:val="20"/>
              </w:rPr>
              <w:t>être accessible de plain-pied ;</w:t>
            </w:r>
          </w:p>
          <w:p w14:paraId="5A7B66F5" w14:textId="77777777" w:rsidR="006F5947" w:rsidRPr="00394C65" w:rsidRDefault="006F5947" w:rsidP="00835AB2">
            <w:pPr>
              <w:numPr>
                <w:ilvl w:val="0"/>
                <w:numId w:val="40"/>
              </w:numPr>
              <w:jc w:val="both"/>
              <w:rPr>
                <w:sz w:val="20"/>
                <w:szCs w:val="20"/>
              </w:rPr>
            </w:pPr>
            <w:r w:rsidRPr="00394C65">
              <w:rPr>
                <w:sz w:val="20"/>
                <w:szCs w:val="20"/>
              </w:rPr>
              <w:t>être équipée d’un siège ayant des dimensions minimales de 0,40 m x 0,40 m ;</w:t>
            </w:r>
          </w:p>
          <w:p w14:paraId="4B29A177" w14:textId="77777777" w:rsidR="006F5947" w:rsidRPr="00394C65" w:rsidRDefault="006F5947" w:rsidP="00835AB2">
            <w:pPr>
              <w:numPr>
                <w:ilvl w:val="0"/>
                <w:numId w:val="40"/>
              </w:numPr>
              <w:jc w:val="both"/>
              <w:rPr>
                <w:sz w:val="20"/>
                <w:szCs w:val="20"/>
              </w:rPr>
            </w:pPr>
            <w:r w:rsidRPr="00394C65">
              <w:rPr>
                <w:sz w:val="20"/>
                <w:szCs w:val="20"/>
              </w:rPr>
              <w:t>présenter une aire de transfert d’une largeur minimale de 1,10 m mesurée à partir de l’axe du siège ;</w:t>
            </w:r>
          </w:p>
          <w:p w14:paraId="1724319E" w14:textId="77777777" w:rsidR="006F5947" w:rsidRPr="00394C65" w:rsidRDefault="006F5947" w:rsidP="00835AB2">
            <w:pPr>
              <w:numPr>
                <w:ilvl w:val="0"/>
                <w:numId w:val="40"/>
              </w:numPr>
              <w:jc w:val="both"/>
              <w:rPr>
                <w:sz w:val="20"/>
                <w:szCs w:val="20"/>
              </w:rPr>
            </w:pPr>
            <w:r w:rsidRPr="00394C65">
              <w:rPr>
                <w:sz w:val="20"/>
                <w:szCs w:val="20"/>
              </w:rPr>
              <w:t>être équipée de deux barres d’appui horizontales d’une longueur minimale de 0,80 m, placées de part et d’autre du siège à une distance de 0,35 m par rapport à son axe ;</w:t>
            </w:r>
          </w:p>
          <w:p w14:paraId="2C5A3DAD" w14:textId="77777777" w:rsidR="006F5947" w:rsidRPr="00394C65" w:rsidRDefault="006F5947" w:rsidP="00835AB2">
            <w:pPr>
              <w:numPr>
                <w:ilvl w:val="0"/>
                <w:numId w:val="40"/>
              </w:numPr>
              <w:jc w:val="both"/>
              <w:rPr>
                <w:sz w:val="20"/>
                <w:szCs w:val="20"/>
              </w:rPr>
            </w:pPr>
            <w:r w:rsidRPr="00394C65">
              <w:rPr>
                <w:sz w:val="20"/>
                <w:szCs w:val="20"/>
              </w:rPr>
              <w:t>être équipée d’une robinetterie adjacente au siège, placée à une distance comprise entre 0,40 m et 0,60 m, mesurée à partir de son axe, de la paroi à laquelle le siège est fixé.</w:t>
            </w:r>
          </w:p>
          <w:p w14:paraId="2A59AB98" w14:textId="77777777" w:rsidR="006F5947" w:rsidRPr="00394C65" w:rsidRDefault="006F5947" w:rsidP="00835AB2">
            <w:pPr>
              <w:jc w:val="both"/>
              <w:rPr>
                <w:sz w:val="20"/>
                <w:szCs w:val="20"/>
              </w:rPr>
            </w:pPr>
          </w:p>
          <w:p w14:paraId="09ACC0EE" w14:textId="6B54521E" w:rsidR="00CB7D4C" w:rsidRPr="00394C65" w:rsidRDefault="005713BA" w:rsidP="00835AB2">
            <w:pPr>
              <w:jc w:val="both"/>
              <w:rPr>
                <w:sz w:val="20"/>
                <w:szCs w:val="20"/>
              </w:rPr>
            </w:pPr>
            <w:r w:rsidRPr="00394C65">
              <w:rPr>
                <w:sz w:val="20"/>
                <w:szCs w:val="20"/>
              </w:rPr>
              <w:t xml:space="preserve">§ 4. </w:t>
            </w:r>
            <w:r w:rsidR="006F5947" w:rsidRPr="00394C65">
              <w:rPr>
                <w:sz w:val="20"/>
                <w:szCs w:val="20"/>
              </w:rPr>
              <w:t>Les croquis n°3 et n°4 en annexe illustrent le présent article.</w:t>
            </w:r>
          </w:p>
        </w:tc>
        <w:tc>
          <w:tcPr>
            <w:tcW w:w="4394" w:type="dxa"/>
          </w:tcPr>
          <w:p w14:paraId="437222A8" w14:textId="12FD47C1" w:rsidR="004518A5" w:rsidRPr="00394C65" w:rsidRDefault="003736D7" w:rsidP="003736D7">
            <w:pPr>
              <w:jc w:val="both"/>
              <w:rPr>
                <w:sz w:val="20"/>
                <w:szCs w:val="20"/>
              </w:rPr>
            </w:pPr>
            <w:r w:rsidRPr="00394C65">
              <w:rPr>
                <w:sz w:val="20"/>
                <w:szCs w:val="20"/>
              </w:rPr>
              <w:t xml:space="preserve">Remarque : </w:t>
            </w:r>
            <w:r w:rsidR="004518A5" w:rsidRPr="00394C65">
              <w:rPr>
                <w:sz w:val="20"/>
                <w:szCs w:val="20"/>
              </w:rPr>
              <w:t xml:space="preserve">Le titre III prévoit que dans les bâtiments accessibles au public, au moins une </w:t>
            </w:r>
            <w:r w:rsidR="00394FD7" w:rsidRPr="00394C65">
              <w:rPr>
                <w:sz w:val="20"/>
                <w:szCs w:val="20"/>
              </w:rPr>
              <w:t>salle de bain ou cabine de couche</w:t>
            </w:r>
            <w:r w:rsidR="004518A5" w:rsidRPr="00394C65">
              <w:rPr>
                <w:sz w:val="20"/>
                <w:szCs w:val="20"/>
              </w:rPr>
              <w:t xml:space="preserve"> par tanche entamée de 20 </w:t>
            </w:r>
            <w:r w:rsidR="00394FD7" w:rsidRPr="00394C65">
              <w:rPr>
                <w:sz w:val="20"/>
                <w:szCs w:val="20"/>
              </w:rPr>
              <w:t>salles de bain ou cabines de couche</w:t>
            </w:r>
            <w:r w:rsidR="004518A5" w:rsidRPr="00394C65">
              <w:rPr>
                <w:sz w:val="20"/>
                <w:szCs w:val="20"/>
              </w:rPr>
              <w:t xml:space="preserve"> doit être</w:t>
            </w:r>
            <w:r w:rsidR="00394FD7" w:rsidRPr="00394C65">
              <w:rPr>
                <w:sz w:val="20"/>
                <w:szCs w:val="20"/>
              </w:rPr>
              <w:t xml:space="preserve"> adaptée</w:t>
            </w:r>
            <w:r w:rsidR="004518A5" w:rsidRPr="00394C65">
              <w:rPr>
                <w:sz w:val="20"/>
                <w:szCs w:val="20"/>
              </w:rPr>
              <w:t xml:space="preserve"> aux </w:t>
            </w:r>
            <w:r w:rsidR="00916AF1" w:rsidRPr="00394C65">
              <w:rPr>
                <w:sz w:val="20"/>
                <w:szCs w:val="20"/>
              </w:rPr>
              <w:t>personnes à mobilité réduite</w:t>
            </w:r>
            <w:r w:rsidR="004518A5" w:rsidRPr="00394C65">
              <w:rPr>
                <w:sz w:val="20"/>
                <w:szCs w:val="20"/>
              </w:rPr>
              <w:t>.</w:t>
            </w:r>
          </w:p>
        </w:tc>
      </w:tr>
      <w:tr w:rsidR="00394C65" w:rsidRPr="00394C65" w14:paraId="5085D0FB" w14:textId="77777777" w:rsidTr="00650100">
        <w:tc>
          <w:tcPr>
            <w:tcW w:w="9776" w:type="dxa"/>
          </w:tcPr>
          <w:p w14:paraId="2DA4B39C" w14:textId="64DD5A4E" w:rsidR="006F5947" w:rsidRPr="00394C65" w:rsidRDefault="006F5947" w:rsidP="00835AB2">
            <w:pPr>
              <w:jc w:val="both"/>
              <w:rPr>
                <w:sz w:val="20"/>
                <w:szCs w:val="20"/>
              </w:rPr>
            </w:pPr>
            <w:r w:rsidRPr="00394C65">
              <w:rPr>
                <w:b/>
                <w:sz w:val="20"/>
                <w:szCs w:val="20"/>
              </w:rPr>
              <w:t xml:space="preserve">Article </w:t>
            </w:r>
            <w:r w:rsidR="005713BA" w:rsidRPr="00394C65">
              <w:rPr>
                <w:b/>
                <w:sz w:val="20"/>
                <w:szCs w:val="20"/>
              </w:rPr>
              <w:t xml:space="preserve">19 </w:t>
            </w:r>
            <w:r w:rsidRPr="00394C65">
              <w:rPr>
                <w:b/>
                <w:sz w:val="20"/>
                <w:szCs w:val="20"/>
              </w:rPr>
              <w:t xml:space="preserve">- Chambres </w:t>
            </w:r>
          </w:p>
        </w:tc>
        <w:tc>
          <w:tcPr>
            <w:tcW w:w="4394" w:type="dxa"/>
          </w:tcPr>
          <w:p w14:paraId="228B2E8E" w14:textId="77777777" w:rsidR="006F5947" w:rsidRPr="00394C65" w:rsidRDefault="006F5947" w:rsidP="00835AB2">
            <w:pPr>
              <w:jc w:val="both"/>
              <w:rPr>
                <w:sz w:val="20"/>
                <w:szCs w:val="20"/>
              </w:rPr>
            </w:pPr>
          </w:p>
        </w:tc>
      </w:tr>
      <w:tr w:rsidR="00394C65" w:rsidRPr="00394C65" w14:paraId="16804C97" w14:textId="77777777" w:rsidTr="00650100">
        <w:tc>
          <w:tcPr>
            <w:tcW w:w="9776" w:type="dxa"/>
          </w:tcPr>
          <w:p w14:paraId="47705D68" w14:textId="1ADE6158" w:rsidR="005F0732" w:rsidRPr="00394C65" w:rsidRDefault="005713BA" w:rsidP="00835AB2">
            <w:pPr>
              <w:jc w:val="both"/>
              <w:rPr>
                <w:sz w:val="20"/>
                <w:szCs w:val="20"/>
              </w:rPr>
            </w:pPr>
            <w:r w:rsidRPr="00394C65">
              <w:rPr>
                <w:sz w:val="20"/>
                <w:szCs w:val="20"/>
              </w:rPr>
              <w:t>§ 1</w:t>
            </w:r>
            <w:r w:rsidRPr="00394C65">
              <w:rPr>
                <w:sz w:val="20"/>
                <w:szCs w:val="20"/>
                <w:vertAlign w:val="superscript"/>
              </w:rPr>
              <w:t>er</w:t>
            </w:r>
            <w:r w:rsidRPr="00394C65">
              <w:rPr>
                <w:sz w:val="20"/>
                <w:szCs w:val="20"/>
              </w:rPr>
              <w:t xml:space="preserve">. </w:t>
            </w:r>
            <w:r w:rsidR="005F0732" w:rsidRPr="00394C65">
              <w:rPr>
                <w:sz w:val="20"/>
                <w:szCs w:val="20"/>
              </w:rPr>
              <w:t xml:space="preserve">Les chambres </w:t>
            </w:r>
            <w:r w:rsidRPr="00394C65">
              <w:rPr>
                <w:sz w:val="20"/>
                <w:szCs w:val="20"/>
              </w:rPr>
              <w:t xml:space="preserve">respectent </w:t>
            </w:r>
            <w:r w:rsidR="005F0732" w:rsidRPr="00394C65">
              <w:rPr>
                <w:sz w:val="20"/>
                <w:szCs w:val="20"/>
              </w:rPr>
              <w:t xml:space="preserve">les conditions suivantes : </w:t>
            </w:r>
          </w:p>
          <w:p w14:paraId="199BD70B" w14:textId="19B66D24" w:rsidR="005F0732" w:rsidRPr="00394C65" w:rsidRDefault="005F0732" w:rsidP="00835AB2">
            <w:pPr>
              <w:jc w:val="both"/>
              <w:rPr>
                <w:sz w:val="20"/>
                <w:szCs w:val="20"/>
              </w:rPr>
            </w:pPr>
            <w:r w:rsidRPr="00394C65">
              <w:rPr>
                <w:sz w:val="20"/>
                <w:szCs w:val="20"/>
              </w:rPr>
              <w:t xml:space="preserve">1° une aire de rotation, hors débattement de porte, est prévue pour atteindre le lit ; </w:t>
            </w:r>
          </w:p>
          <w:p w14:paraId="241D868F" w14:textId="0685B022" w:rsidR="005F0732" w:rsidRPr="00394C65" w:rsidRDefault="005F0732" w:rsidP="00835AB2">
            <w:pPr>
              <w:jc w:val="both"/>
              <w:rPr>
                <w:sz w:val="20"/>
                <w:szCs w:val="20"/>
              </w:rPr>
            </w:pPr>
            <w:r w:rsidRPr="00394C65">
              <w:rPr>
                <w:sz w:val="20"/>
                <w:szCs w:val="20"/>
              </w:rPr>
              <w:lastRenderedPageBreak/>
              <w:t>2° à partir de celle-ci, un cheminement de minimum 0,90 m de largeur donne accès aux principaux meubles de la chambre</w:t>
            </w:r>
            <w:r w:rsidR="003736D7" w:rsidRPr="00394C65">
              <w:rPr>
                <w:sz w:val="20"/>
                <w:szCs w:val="20"/>
              </w:rPr>
              <w:t> ;</w:t>
            </w:r>
            <w:r w:rsidRPr="00394C65">
              <w:rPr>
                <w:sz w:val="20"/>
                <w:szCs w:val="20"/>
              </w:rPr>
              <w:t xml:space="preserve"> </w:t>
            </w:r>
          </w:p>
          <w:p w14:paraId="2D2B64BB" w14:textId="60491BDF" w:rsidR="005F0732" w:rsidRPr="00394C65" w:rsidRDefault="005F0732" w:rsidP="00835AB2">
            <w:pPr>
              <w:jc w:val="both"/>
              <w:rPr>
                <w:sz w:val="20"/>
                <w:szCs w:val="20"/>
              </w:rPr>
            </w:pPr>
            <w:r w:rsidRPr="00394C65">
              <w:rPr>
                <w:sz w:val="20"/>
                <w:szCs w:val="20"/>
              </w:rPr>
              <w:t xml:space="preserve">3° la toilette, la salle d’eau, la douche et le lavabo équipant la chambre répondent aux conditions déterminées par le présent règlement. </w:t>
            </w:r>
          </w:p>
          <w:p w14:paraId="33440850" w14:textId="77777777" w:rsidR="006F5947" w:rsidRPr="00394C65" w:rsidRDefault="006F5947" w:rsidP="00835AB2">
            <w:pPr>
              <w:jc w:val="both"/>
              <w:rPr>
                <w:sz w:val="20"/>
                <w:szCs w:val="20"/>
              </w:rPr>
            </w:pPr>
          </w:p>
          <w:p w14:paraId="631A8AC3" w14:textId="1479F50E" w:rsidR="006F5947" w:rsidRPr="00394C65" w:rsidRDefault="006F5947" w:rsidP="00835AB2">
            <w:pPr>
              <w:jc w:val="both"/>
              <w:rPr>
                <w:sz w:val="20"/>
                <w:szCs w:val="20"/>
              </w:rPr>
            </w:pPr>
            <w:r w:rsidRPr="00394C65">
              <w:rPr>
                <w:sz w:val="20"/>
                <w:szCs w:val="20"/>
              </w:rPr>
              <w:t xml:space="preserve">§ </w:t>
            </w:r>
            <w:r w:rsidR="005713BA" w:rsidRPr="00394C65">
              <w:rPr>
                <w:sz w:val="20"/>
                <w:szCs w:val="20"/>
              </w:rPr>
              <w:t>2</w:t>
            </w:r>
            <w:r w:rsidRPr="00394C65">
              <w:rPr>
                <w:sz w:val="20"/>
                <w:szCs w:val="20"/>
              </w:rPr>
              <w:t>. Les croquis n°5 et n°6 en annexe illustrent le présent article.</w:t>
            </w:r>
          </w:p>
        </w:tc>
        <w:tc>
          <w:tcPr>
            <w:tcW w:w="4394" w:type="dxa"/>
          </w:tcPr>
          <w:p w14:paraId="46BE4779" w14:textId="77777777" w:rsidR="006F5947" w:rsidRPr="00394C65" w:rsidRDefault="006F5947" w:rsidP="00835AB2">
            <w:pPr>
              <w:jc w:val="both"/>
              <w:rPr>
                <w:sz w:val="20"/>
                <w:szCs w:val="20"/>
              </w:rPr>
            </w:pPr>
          </w:p>
          <w:p w14:paraId="0C4A392E" w14:textId="51C2C8B7" w:rsidR="005872C3" w:rsidRPr="00394C65" w:rsidRDefault="003736D7" w:rsidP="00835AB2">
            <w:pPr>
              <w:jc w:val="both"/>
              <w:rPr>
                <w:sz w:val="20"/>
                <w:szCs w:val="20"/>
              </w:rPr>
            </w:pPr>
            <w:r w:rsidRPr="00394C65">
              <w:rPr>
                <w:sz w:val="20"/>
                <w:szCs w:val="20"/>
              </w:rPr>
              <w:t xml:space="preserve">Remarque : </w:t>
            </w:r>
            <w:r w:rsidR="005872C3" w:rsidRPr="00394C65">
              <w:rPr>
                <w:sz w:val="20"/>
                <w:szCs w:val="20"/>
              </w:rPr>
              <w:t xml:space="preserve">Le titre III prévoit que dans les bâtiments accessibles au public, au moins une chambre </w:t>
            </w:r>
            <w:r w:rsidR="005872C3" w:rsidRPr="00394C65">
              <w:rPr>
                <w:sz w:val="20"/>
                <w:szCs w:val="20"/>
              </w:rPr>
              <w:lastRenderedPageBreak/>
              <w:t xml:space="preserve">ou cabine d’essayage par tanche entamée de 20 doit être adaptée aux </w:t>
            </w:r>
            <w:r w:rsidR="00916AF1" w:rsidRPr="00394C65">
              <w:rPr>
                <w:sz w:val="20"/>
                <w:szCs w:val="20"/>
              </w:rPr>
              <w:t>personnes à mobilité réduite</w:t>
            </w:r>
            <w:r w:rsidR="005872C3" w:rsidRPr="00394C65">
              <w:rPr>
                <w:sz w:val="20"/>
                <w:szCs w:val="20"/>
              </w:rPr>
              <w:t>.</w:t>
            </w:r>
          </w:p>
        </w:tc>
      </w:tr>
      <w:tr w:rsidR="00394C65" w:rsidRPr="00394C65" w14:paraId="725BD02F" w14:textId="77777777" w:rsidTr="00650100">
        <w:tc>
          <w:tcPr>
            <w:tcW w:w="9776" w:type="dxa"/>
          </w:tcPr>
          <w:p w14:paraId="6D479E87" w14:textId="7400C53F" w:rsidR="005535E7" w:rsidRPr="00394C65" w:rsidRDefault="005535E7" w:rsidP="00835AB2">
            <w:pPr>
              <w:jc w:val="both"/>
              <w:rPr>
                <w:b/>
                <w:sz w:val="20"/>
                <w:szCs w:val="20"/>
              </w:rPr>
            </w:pPr>
            <w:r w:rsidRPr="00394C65">
              <w:rPr>
                <w:b/>
                <w:sz w:val="20"/>
                <w:szCs w:val="20"/>
              </w:rPr>
              <w:t xml:space="preserve">Article </w:t>
            </w:r>
            <w:r w:rsidR="00E609B7" w:rsidRPr="00394C65">
              <w:rPr>
                <w:b/>
                <w:sz w:val="20"/>
                <w:szCs w:val="20"/>
              </w:rPr>
              <w:t xml:space="preserve">20 </w:t>
            </w:r>
            <w:r w:rsidRPr="00394C65">
              <w:rPr>
                <w:b/>
                <w:sz w:val="20"/>
                <w:szCs w:val="20"/>
              </w:rPr>
              <w:t xml:space="preserve">-  </w:t>
            </w:r>
            <w:r w:rsidR="00E609B7" w:rsidRPr="00394C65">
              <w:rPr>
                <w:b/>
                <w:sz w:val="20"/>
                <w:szCs w:val="20"/>
              </w:rPr>
              <w:t xml:space="preserve">Cabines </w:t>
            </w:r>
            <w:r w:rsidRPr="00394C65">
              <w:rPr>
                <w:b/>
                <w:sz w:val="20"/>
                <w:szCs w:val="20"/>
              </w:rPr>
              <w:t>d’essayage et de vestiaire</w:t>
            </w:r>
          </w:p>
        </w:tc>
        <w:tc>
          <w:tcPr>
            <w:tcW w:w="4394" w:type="dxa"/>
          </w:tcPr>
          <w:p w14:paraId="6F9997A7" w14:textId="77777777" w:rsidR="005535E7" w:rsidRPr="00394C65" w:rsidRDefault="005535E7" w:rsidP="00835AB2">
            <w:pPr>
              <w:jc w:val="both"/>
              <w:rPr>
                <w:sz w:val="20"/>
                <w:szCs w:val="20"/>
              </w:rPr>
            </w:pPr>
          </w:p>
        </w:tc>
      </w:tr>
      <w:tr w:rsidR="00394C65" w:rsidRPr="00394C65" w14:paraId="5E1D25A5" w14:textId="77777777" w:rsidTr="00650100">
        <w:tc>
          <w:tcPr>
            <w:tcW w:w="9776" w:type="dxa"/>
          </w:tcPr>
          <w:p w14:paraId="1F9BBDEE" w14:textId="2686A033" w:rsidR="005535E7" w:rsidRPr="00394C65" w:rsidRDefault="005535E7" w:rsidP="00835AB2">
            <w:pPr>
              <w:jc w:val="both"/>
              <w:rPr>
                <w:sz w:val="20"/>
                <w:szCs w:val="20"/>
              </w:rPr>
            </w:pPr>
            <w:r w:rsidRPr="00394C65">
              <w:rPr>
                <w:sz w:val="20"/>
                <w:szCs w:val="20"/>
              </w:rPr>
              <w:t>§ 1</w:t>
            </w:r>
            <w:r w:rsidR="00E609B7" w:rsidRPr="00394C65">
              <w:rPr>
                <w:sz w:val="20"/>
                <w:szCs w:val="20"/>
                <w:vertAlign w:val="superscript"/>
              </w:rPr>
              <w:t>er</w:t>
            </w:r>
            <w:r w:rsidRPr="00394C65">
              <w:rPr>
                <w:sz w:val="20"/>
                <w:szCs w:val="20"/>
              </w:rPr>
              <w:t>. La cabine d’essayage ou de vestiaire est accessible de plain-pied.</w:t>
            </w:r>
          </w:p>
          <w:p w14:paraId="7F39D7A5" w14:textId="77777777" w:rsidR="00E609B7" w:rsidRPr="00394C65" w:rsidRDefault="00E609B7" w:rsidP="00835AB2">
            <w:pPr>
              <w:jc w:val="both"/>
              <w:rPr>
                <w:sz w:val="20"/>
                <w:szCs w:val="20"/>
              </w:rPr>
            </w:pPr>
          </w:p>
          <w:p w14:paraId="34D21ACB" w14:textId="15BC98AD" w:rsidR="005535E7" w:rsidRPr="00394C65" w:rsidRDefault="005535E7" w:rsidP="00835AB2">
            <w:pPr>
              <w:jc w:val="both"/>
              <w:rPr>
                <w:sz w:val="20"/>
                <w:szCs w:val="20"/>
              </w:rPr>
            </w:pPr>
            <w:r w:rsidRPr="00394C65">
              <w:rPr>
                <w:sz w:val="20"/>
                <w:szCs w:val="20"/>
              </w:rPr>
              <w:t>Elle est équipée d’un siège ayant des dimensions minimales de 0,40 m x 0,40 m et de deux barres d’appui horizontales placées de part et d’autre du siège à une distance de 0,35 m par rapport à son axe.</w:t>
            </w:r>
          </w:p>
          <w:p w14:paraId="7B5AB496" w14:textId="77777777" w:rsidR="005535E7" w:rsidRPr="00394C65" w:rsidRDefault="005535E7" w:rsidP="00835AB2">
            <w:pPr>
              <w:jc w:val="both"/>
              <w:rPr>
                <w:sz w:val="20"/>
                <w:szCs w:val="20"/>
              </w:rPr>
            </w:pPr>
          </w:p>
          <w:p w14:paraId="4BD0CA5F" w14:textId="2E1D2357" w:rsidR="005535E7" w:rsidRPr="00394C65" w:rsidRDefault="005535E7" w:rsidP="00835AB2">
            <w:pPr>
              <w:jc w:val="both"/>
              <w:rPr>
                <w:b/>
                <w:sz w:val="20"/>
                <w:szCs w:val="20"/>
              </w:rPr>
            </w:pPr>
            <w:r w:rsidRPr="00394C65">
              <w:rPr>
                <w:sz w:val="20"/>
                <w:szCs w:val="20"/>
              </w:rPr>
              <w:t xml:space="preserve">§ </w:t>
            </w:r>
            <w:r w:rsidR="00E609B7" w:rsidRPr="00394C65">
              <w:rPr>
                <w:sz w:val="20"/>
                <w:szCs w:val="20"/>
              </w:rPr>
              <w:t>2</w:t>
            </w:r>
            <w:r w:rsidRPr="00394C65">
              <w:rPr>
                <w:sz w:val="20"/>
                <w:szCs w:val="20"/>
              </w:rPr>
              <w:t>. Les croquis n°</w:t>
            </w:r>
            <w:r w:rsidR="00E609B7" w:rsidRPr="00394C65">
              <w:rPr>
                <w:sz w:val="20"/>
                <w:szCs w:val="20"/>
              </w:rPr>
              <w:t xml:space="preserve">7 </w:t>
            </w:r>
            <w:r w:rsidRPr="00394C65">
              <w:rPr>
                <w:sz w:val="20"/>
                <w:szCs w:val="20"/>
              </w:rPr>
              <w:t>et n°</w:t>
            </w:r>
            <w:r w:rsidR="00E609B7" w:rsidRPr="00394C65">
              <w:rPr>
                <w:sz w:val="20"/>
                <w:szCs w:val="20"/>
              </w:rPr>
              <w:t xml:space="preserve">8 </w:t>
            </w:r>
            <w:r w:rsidRPr="00394C65">
              <w:rPr>
                <w:sz w:val="20"/>
                <w:szCs w:val="20"/>
              </w:rPr>
              <w:t>en annexe illustrent le présent article.</w:t>
            </w:r>
          </w:p>
        </w:tc>
        <w:tc>
          <w:tcPr>
            <w:tcW w:w="4394" w:type="dxa"/>
          </w:tcPr>
          <w:p w14:paraId="23F08B4F" w14:textId="77777777" w:rsidR="005535E7" w:rsidRPr="00394C65" w:rsidRDefault="005535E7" w:rsidP="00835AB2">
            <w:pPr>
              <w:jc w:val="both"/>
              <w:rPr>
                <w:sz w:val="20"/>
                <w:szCs w:val="20"/>
              </w:rPr>
            </w:pPr>
          </w:p>
        </w:tc>
      </w:tr>
      <w:tr w:rsidR="00394C65" w:rsidRPr="00394C65" w14:paraId="1AA84BCB" w14:textId="77777777" w:rsidTr="00650100">
        <w:tc>
          <w:tcPr>
            <w:tcW w:w="9776" w:type="dxa"/>
          </w:tcPr>
          <w:p w14:paraId="43BC291A" w14:textId="389AEF72" w:rsidR="005F0732" w:rsidRPr="00394C65" w:rsidRDefault="005F0732" w:rsidP="00835AB2">
            <w:pPr>
              <w:jc w:val="both"/>
              <w:rPr>
                <w:b/>
                <w:sz w:val="20"/>
                <w:szCs w:val="20"/>
              </w:rPr>
            </w:pPr>
            <w:r w:rsidRPr="00394C65">
              <w:rPr>
                <w:b/>
                <w:sz w:val="20"/>
                <w:szCs w:val="20"/>
              </w:rPr>
              <w:t xml:space="preserve">Article </w:t>
            </w:r>
            <w:r w:rsidR="00E609B7" w:rsidRPr="00394C65">
              <w:rPr>
                <w:b/>
                <w:sz w:val="20"/>
                <w:szCs w:val="20"/>
              </w:rPr>
              <w:t xml:space="preserve">21 </w:t>
            </w:r>
            <w:r w:rsidRPr="00394C65">
              <w:rPr>
                <w:b/>
                <w:sz w:val="20"/>
                <w:szCs w:val="20"/>
              </w:rPr>
              <w:t xml:space="preserve">- Guichets et comptoirs </w:t>
            </w:r>
          </w:p>
        </w:tc>
        <w:tc>
          <w:tcPr>
            <w:tcW w:w="4394" w:type="dxa"/>
          </w:tcPr>
          <w:p w14:paraId="248197C6" w14:textId="77777777" w:rsidR="005F0732" w:rsidRPr="00394C65" w:rsidRDefault="005F0732" w:rsidP="00835AB2">
            <w:pPr>
              <w:jc w:val="both"/>
              <w:rPr>
                <w:sz w:val="20"/>
                <w:szCs w:val="20"/>
              </w:rPr>
            </w:pPr>
          </w:p>
        </w:tc>
      </w:tr>
      <w:tr w:rsidR="00394C65" w:rsidRPr="00394C65" w14:paraId="3BFDD889" w14:textId="77777777" w:rsidTr="00650100">
        <w:tc>
          <w:tcPr>
            <w:tcW w:w="9776" w:type="dxa"/>
          </w:tcPr>
          <w:p w14:paraId="0271272B" w14:textId="2AE0AF86" w:rsidR="005F0732" w:rsidRPr="00394C65" w:rsidRDefault="005F0732" w:rsidP="00835AB2">
            <w:pPr>
              <w:jc w:val="both"/>
              <w:rPr>
                <w:sz w:val="20"/>
                <w:szCs w:val="20"/>
              </w:rPr>
            </w:pPr>
            <w:r w:rsidRPr="00394C65">
              <w:rPr>
                <w:sz w:val="20"/>
                <w:szCs w:val="20"/>
              </w:rPr>
              <w:t>Le guichet ou le comptoir est précédé par une aire de rotation.</w:t>
            </w:r>
          </w:p>
          <w:p w14:paraId="66DC9221" w14:textId="77777777" w:rsidR="00E609B7" w:rsidRPr="00394C65" w:rsidRDefault="00E609B7" w:rsidP="00835AB2">
            <w:pPr>
              <w:jc w:val="both"/>
              <w:rPr>
                <w:sz w:val="20"/>
                <w:szCs w:val="20"/>
              </w:rPr>
            </w:pPr>
          </w:p>
          <w:p w14:paraId="1A4BF6B0" w14:textId="08BA699F" w:rsidR="005F0732" w:rsidRPr="00394C65" w:rsidRDefault="005F0732" w:rsidP="00835AB2">
            <w:pPr>
              <w:jc w:val="both"/>
              <w:rPr>
                <w:sz w:val="20"/>
                <w:szCs w:val="20"/>
              </w:rPr>
            </w:pPr>
            <w:r w:rsidRPr="00394C65">
              <w:rPr>
                <w:sz w:val="20"/>
                <w:szCs w:val="20"/>
              </w:rPr>
              <w:t xml:space="preserve">Il est équipé d’une tablette </w:t>
            </w:r>
            <w:r w:rsidR="00916AF1" w:rsidRPr="00394C65">
              <w:rPr>
                <w:sz w:val="20"/>
                <w:szCs w:val="20"/>
              </w:rPr>
              <w:t xml:space="preserve">adaptée aux personnes à mobilité réduite </w:t>
            </w:r>
            <w:r w:rsidRPr="00394C65">
              <w:rPr>
                <w:sz w:val="20"/>
                <w:szCs w:val="20"/>
              </w:rPr>
              <w:t>dont l’es</w:t>
            </w:r>
            <w:r w:rsidR="00372E4D" w:rsidRPr="00394C65">
              <w:rPr>
                <w:sz w:val="20"/>
                <w:szCs w:val="20"/>
              </w:rPr>
              <w:t>pa</w:t>
            </w:r>
            <w:r w:rsidRPr="00394C65">
              <w:rPr>
                <w:sz w:val="20"/>
                <w:szCs w:val="20"/>
              </w:rPr>
              <w:t>ce libre sous celle-ci est de :</w:t>
            </w:r>
          </w:p>
          <w:p w14:paraId="4F72A083" w14:textId="0CED54C5" w:rsidR="005F0732" w:rsidRPr="00394C65" w:rsidRDefault="005F0732" w:rsidP="00835AB2">
            <w:pPr>
              <w:pStyle w:val="ListParagraph"/>
              <w:numPr>
                <w:ilvl w:val="0"/>
                <w:numId w:val="41"/>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0,75</w:t>
            </w:r>
            <w:r w:rsidR="00E609B7" w:rsidRPr="00394C65">
              <w:rPr>
                <w:rFonts w:ascii="Times New Roman" w:eastAsia="Times New Roman" w:hAnsi="Times New Roman" w:cs="Times New Roman"/>
                <w:sz w:val="20"/>
                <w:szCs w:val="20"/>
                <w:lang w:eastAsia="fr-FR"/>
              </w:rPr>
              <w:t xml:space="preserve"> </w:t>
            </w:r>
            <w:r w:rsidR="00372E4D" w:rsidRPr="00394C65">
              <w:rPr>
                <w:rFonts w:ascii="Times New Roman" w:eastAsia="Times New Roman" w:hAnsi="Times New Roman" w:cs="Times New Roman"/>
                <w:sz w:val="20"/>
                <w:szCs w:val="20"/>
                <w:lang w:eastAsia="fr-FR"/>
              </w:rPr>
              <w:t>m</w:t>
            </w:r>
            <w:r w:rsidRPr="00394C65">
              <w:rPr>
                <w:rFonts w:ascii="Times New Roman" w:eastAsia="Times New Roman" w:hAnsi="Times New Roman" w:cs="Times New Roman"/>
                <w:sz w:val="20"/>
                <w:szCs w:val="20"/>
                <w:lang w:eastAsia="fr-FR"/>
              </w:rPr>
              <w:t xml:space="preserve"> de hauteur</w:t>
            </w:r>
            <w:r w:rsidR="00E609B7" w:rsidRPr="00394C65">
              <w:rPr>
                <w:rFonts w:ascii="Times New Roman" w:eastAsia="Times New Roman" w:hAnsi="Times New Roman" w:cs="Times New Roman"/>
                <w:sz w:val="20"/>
                <w:szCs w:val="20"/>
                <w:lang w:eastAsia="fr-FR"/>
              </w:rPr>
              <w:t> ;</w:t>
            </w:r>
          </w:p>
          <w:p w14:paraId="6938DA9D" w14:textId="07D9C80F" w:rsidR="005F0732" w:rsidRPr="00394C65" w:rsidRDefault="005F0732" w:rsidP="00835AB2">
            <w:pPr>
              <w:pStyle w:val="ListParagraph"/>
              <w:numPr>
                <w:ilvl w:val="0"/>
                <w:numId w:val="41"/>
              </w:numPr>
              <w:spacing w:after="0" w:line="240" w:lineRule="auto"/>
              <w:jc w:val="both"/>
              <w:rPr>
                <w:rFonts w:ascii="Times New Roman" w:eastAsia="Times New Roman" w:hAnsi="Times New Roman" w:cs="Times New Roman"/>
                <w:sz w:val="20"/>
                <w:szCs w:val="20"/>
                <w:lang w:eastAsia="fr-FR"/>
              </w:rPr>
            </w:pPr>
            <w:r w:rsidRPr="00394C65">
              <w:rPr>
                <w:rFonts w:ascii="Times New Roman" w:eastAsia="Times New Roman" w:hAnsi="Times New Roman" w:cs="Times New Roman"/>
                <w:sz w:val="20"/>
                <w:szCs w:val="20"/>
                <w:lang w:eastAsia="fr-FR"/>
              </w:rPr>
              <w:t>0,6</w:t>
            </w:r>
            <w:r w:rsidR="00E609B7" w:rsidRPr="00394C65">
              <w:rPr>
                <w:rFonts w:ascii="Times New Roman" w:eastAsia="Times New Roman" w:hAnsi="Times New Roman" w:cs="Times New Roman"/>
                <w:sz w:val="20"/>
                <w:szCs w:val="20"/>
                <w:lang w:eastAsia="fr-FR"/>
              </w:rPr>
              <w:t xml:space="preserve"> </w:t>
            </w:r>
            <w:r w:rsidR="00372E4D" w:rsidRPr="00394C65">
              <w:rPr>
                <w:rFonts w:ascii="Times New Roman" w:eastAsia="Times New Roman" w:hAnsi="Times New Roman" w:cs="Times New Roman"/>
                <w:sz w:val="20"/>
                <w:szCs w:val="20"/>
                <w:lang w:eastAsia="fr-FR"/>
              </w:rPr>
              <w:t>m</w:t>
            </w:r>
            <w:r w:rsidRPr="00394C65">
              <w:rPr>
                <w:rFonts w:ascii="Times New Roman" w:eastAsia="Times New Roman" w:hAnsi="Times New Roman" w:cs="Times New Roman"/>
                <w:sz w:val="20"/>
                <w:szCs w:val="20"/>
                <w:lang w:eastAsia="fr-FR"/>
              </w:rPr>
              <w:t xml:space="preserve"> de profondeur</w:t>
            </w:r>
            <w:r w:rsidR="00E609B7" w:rsidRPr="00394C65">
              <w:rPr>
                <w:rFonts w:ascii="Times New Roman" w:eastAsia="Times New Roman" w:hAnsi="Times New Roman" w:cs="Times New Roman"/>
                <w:sz w:val="20"/>
                <w:szCs w:val="20"/>
                <w:lang w:eastAsia="fr-FR"/>
              </w:rPr>
              <w:t> ;</w:t>
            </w:r>
          </w:p>
          <w:p w14:paraId="55EF0336" w14:textId="4C5322BB" w:rsidR="005F0732" w:rsidRPr="00394C65" w:rsidRDefault="005F0732" w:rsidP="00835AB2">
            <w:pPr>
              <w:pStyle w:val="ListParagraph"/>
              <w:numPr>
                <w:ilvl w:val="0"/>
                <w:numId w:val="41"/>
              </w:numPr>
              <w:spacing w:after="0" w:line="240" w:lineRule="auto"/>
              <w:jc w:val="both"/>
              <w:rPr>
                <w:sz w:val="20"/>
                <w:szCs w:val="20"/>
              </w:rPr>
            </w:pPr>
            <w:r w:rsidRPr="00394C65">
              <w:rPr>
                <w:rFonts w:ascii="Times New Roman" w:eastAsia="Times New Roman" w:hAnsi="Times New Roman" w:cs="Times New Roman"/>
                <w:sz w:val="20"/>
                <w:szCs w:val="20"/>
                <w:lang w:eastAsia="fr-FR"/>
              </w:rPr>
              <w:t>0,9</w:t>
            </w:r>
            <w:r w:rsidR="00E609B7" w:rsidRPr="00394C65">
              <w:rPr>
                <w:rFonts w:ascii="Times New Roman" w:eastAsia="Times New Roman" w:hAnsi="Times New Roman" w:cs="Times New Roman"/>
                <w:sz w:val="20"/>
                <w:szCs w:val="20"/>
                <w:lang w:eastAsia="fr-FR"/>
              </w:rPr>
              <w:t xml:space="preserve"> </w:t>
            </w:r>
            <w:r w:rsidR="00372E4D" w:rsidRPr="00394C65">
              <w:rPr>
                <w:rFonts w:ascii="Times New Roman" w:eastAsia="Times New Roman" w:hAnsi="Times New Roman" w:cs="Times New Roman"/>
                <w:sz w:val="20"/>
                <w:szCs w:val="20"/>
                <w:lang w:eastAsia="fr-FR"/>
              </w:rPr>
              <w:t>m</w:t>
            </w:r>
            <w:r w:rsidRPr="00394C65">
              <w:rPr>
                <w:rFonts w:ascii="Times New Roman" w:eastAsia="Times New Roman" w:hAnsi="Times New Roman" w:cs="Times New Roman"/>
                <w:sz w:val="20"/>
                <w:szCs w:val="20"/>
                <w:lang w:eastAsia="fr-FR"/>
              </w:rPr>
              <w:t xml:space="preserve"> de largeur</w:t>
            </w:r>
            <w:r w:rsidR="00E609B7" w:rsidRPr="00394C65">
              <w:rPr>
                <w:rFonts w:ascii="Times New Roman" w:eastAsia="Times New Roman" w:hAnsi="Times New Roman" w:cs="Times New Roman"/>
                <w:sz w:val="20"/>
                <w:szCs w:val="20"/>
                <w:lang w:eastAsia="fr-FR"/>
              </w:rPr>
              <w:t>.</w:t>
            </w:r>
          </w:p>
        </w:tc>
        <w:tc>
          <w:tcPr>
            <w:tcW w:w="4394" w:type="dxa"/>
          </w:tcPr>
          <w:p w14:paraId="4D5B2095" w14:textId="7272A63E" w:rsidR="005F0732" w:rsidRPr="00394C65" w:rsidRDefault="003736D7" w:rsidP="00835AB2">
            <w:pPr>
              <w:jc w:val="both"/>
              <w:rPr>
                <w:sz w:val="20"/>
                <w:szCs w:val="20"/>
              </w:rPr>
            </w:pPr>
            <w:r w:rsidRPr="00394C65">
              <w:rPr>
                <w:sz w:val="20"/>
                <w:szCs w:val="20"/>
              </w:rPr>
              <w:t xml:space="preserve">Remarque : </w:t>
            </w:r>
            <w:r w:rsidR="005F0732" w:rsidRPr="00394C65">
              <w:rPr>
                <w:sz w:val="20"/>
                <w:szCs w:val="20"/>
              </w:rPr>
              <w:t>Le titre III prévoit que dans les bâtiments accessibles au public au moins un guichet au comptoir par tanche entamée de 10 guichets ou comptoirs soit accessible aux P</w:t>
            </w:r>
            <w:r w:rsidR="00916AF1" w:rsidRPr="00394C65">
              <w:rPr>
                <w:sz w:val="20"/>
                <w:szCs w:val="20"/>
              </w:rPr>
              <w:t xml:space="preserve"> personnes à mobilité réduite</w:t>
            </w:r>
            <w:r w:rsidR="005F0732" w:rsidRPr="00394C65">
              <w:rPr>
                <w:sz w:val="20"/>
                <w:szCs w:val="20"/>
              </w:rPr>
              <w:t xml:space="preserve">. </w:t>
            </w:r>
          </w:p>
        </w:tc>
      </w:tr>
      <w:tr w:rsidR="00394C65" w:rsidRPr="00394C65" w14:paraId="21789D69" w14:textId="77777777" w:rsidTr="00650100">
        <w:tc>
          <w:tcPr>
            <w:tcW w:w="9776" w:type="dxa"/>
          </w:tcPr>
          <w:p w14:paraId="7F7C2E08" w14:textId="35FBACEA" w:rsidR="005F0732" w:rsidRPr="00394C65" w:rsidRDefault="005F0732" w:rsidP="00835AB2">
            <w:pPr>
              <w:jc w:val="both"/>
              <w:rPr>
                <w:sz w:val="20"/>
                <w:szCs w:val="20"/>
              </w:rPr>
            </w:pPr>
            <w:r w:rsidRPr="00394C65">
              <w:rPr>
                <w:b/>
                <w:sz w:val="20"/>
                <w:szCs w:val="20"/>
              </w:rPr>
              <w:t xml:space="preserve">Article </w:t>
            </w:r>
            <w:r w:rsidR="00372E4D" w:rsidRPr="00394C65">
              <w:rPr>
                <w:b/>
                <w:sz w:val="20"/>
                <w:szCs w:val="20"/>
              </w:rPr>
              <w:t>20</w:t>
            </w:r>
            <w:r w:rsidRPr="00394C65">
              <w:rPr>
                <w:b/>
                <w:sz w:val="20"/>
                <w:szCs w:val="20"/>
              </w:rPr>
              <w:t xml:space="preserve"> - </w:t>
            </w:r>
            <w:r w:rsidR="00E609B7" w:rsidRPr="00394C65">
              <w:rPr>
                <w:b/>
                <w:sz w:val="20"/>
                <w:szCs w:val="20"/>
              </w:rPr>
              <w:t xml:space="preserve">Emplacement </w:t>
            </w:r>
            <w:r w:rsidR="00407B05" w:rsidRPr="00394C65">
              <w:rPr>
                <w:b/>
                <w:sz w:val="20"/>
                <w:szCs w:val="20"/>
              </w:rPr>
              <w:t>réservé</w:t>
            </w:r>
            <w:r w:rsidR="00372E4D" w:rsidRPr="00394C65">
              <w:rPr>
                <w:b/>
                <w:sz w:val="20"/>
                <w:szCs w:val="20"/>
              </w:rPr>
              <w:t xml:space="preserve"> aux personnes en chaise roulante</w:t>
            </w:r>
          </w:p>
        </w:tc>
        <w:tc>
          <w:tcPr>
            <w:tcW w:w="4394" w:type="dxa"/>
          </w:tcPr>
          <w:p w14:paraId="59FEDD32" w14:textId="77777777" w:rsidR="005F0732" w:rsidRPr="00394C65" w:rsidRDefault="005F0732" w:rsidP="00835AB2">
            <w:pPr>
              <w:jc w:val="both"/>
              <w:rPr>
                <w:sz w:val="20"/>
                <w:szCs w:val="20"/>
              </w:rPr>
            </w:pPr>
          </w:p>
        </w:tc>
      </w:tr>
      <w:tr w:rsidR="00394C65" w:rsidRPr="00394C65" w14:paraId="510C8A14" w14:textId="77777777" w:rsidTr="00650100">
        <w:tc>
          <w:tcPr>
            <w:tcW w:w="9776" w:type="dxa"/>
          </w:tcPr>
          <w:p w14:paraId="4E5A673C" w14:textId="13254A87" w:rsidR="005F0732" w:rsidRPr="00394C65" w:rsidRDefault="005F0732" w:rsidP="00835AB2">
            <w:pPr>
              <w:jc w:val="both"/>
              <w:rPr>
                <w:sz w:val="20"/>
                <w:szCs w:val="20"/>
              </w:rPr>
            </w:pPr>
            <w:r w:rsidRPr="00394C65">
              <w:rPr>
                <w:sz w:val="20"/>
                <w:szCs w:val="20"/>
              </w:rPr>
              <w:t xml:space="preserve">L’emplacement adapté </w:t>
            </w:r>
            <w:proofErr w:type="spellStart"/>
            <w:r w:rsidRPr="00394C65">
              <w:rPr>
                <w:sz w:val="20"/>
                <w:szCs w:val="20"/>
              </w:rPr>
              <w:t>a</w:t>
            </w:r>
            <w:proofErr w:type="spellEnd"/>
            <w:r w:rsidRPr="00394C65">
              <w:rPr>
                <w:sz w:val="20"/>
                <w:szCs w:val="20"/>
              </w:rPr>
              <w:t xml:space="preserve"> des dimensions minimales de 1,50 m x 0,90 m et est précédé par une aire de rotation d’un diamètre minimal de 1,50 m.</w:t>
            </w:r>
          </w:p>
          <w:p w14:paraId="15CD6973" w14:textId="77777777" w:rsidR="005F0732" w:rsidRPr="00394C65" w:rsidRDefault="005F0732" w:rsidP="00835AB2">
            <w:pPr>
              <w:jc w:val="both"/>
              <w:rPr>
                <w:sz w:val="20"/>
                <w:szCs w:val="20"/>
              </w:rPr>
            </w:pPr>
          </w:p>
          <w:p w14:paraId="5CD51EE3" w14:textId="4D216931" w:rsidR="005F0732" w:rsidRPr="00394C65" w:rsidRDefault="005F0732" w:rsidP="00835AB2">
            <w:pPr>
              <w:jc w:val="both"/>
              <w:rPr>
                <w:sz w:val="20"/>
                <w:szCs w:val="20"/>
              </w:rPr>
            </w:pPr>
          </w:p>
        </w:tc>
        <w:tc>
          <w:tcPr>
            <w:tcW w:w="4394" w:type="dxa"/>
          </w:tcPr>
          <w:p w14:paraId="0CC7336D" w14:textId="33607C2E" w:rsidR="005F0732" w:rsidRPr="00394C65" w:rsidRDefault="003736D7" w:rsidP="003736D7">
            <w:pPr>
              <w:jc w:val="both"/>
              <w:rPr>
                <w:sz w:val="20"/>
                <w:szCs w:val="20"/>
              </w:rPr>
            </w:pPr>
            <w:r w:rsidRPr="00394C65">
              <w:rPr>
                <w:sz w:val="20"/>
                <w:szCs w:val="20"/>
              </w:rPr>
              <w:t xml:space="preserve">Remarque : </w:t>
            </w:r>
            <w:r w:rsidR="005F0732" w:rsidRPr="00394C65">
              <w:rPr>
                <w:sz w:val="20"/>
                <w:szCs w:val="20"/>
              </w:rPr>
              <w:t>Le titre III prévoit que dans les bâtiments accessibles au public au moins lorsque des sièges fixes sont mis à disposition, au moins un emplacement est réservé aux personnes en chaise roulante et un emplacement supplémentaire par tranche entamée de 50 sièges.</w:t>
            </w:r>
          </w:p>
        </w:tc>
      </w:tr>
      <w:tr w:rsidR="00394C65" w:rsidRPr="00394C65" w14:paraId="21914B56" w14:textId="77777777" w:rsidTr="00650100">
        <w:tc>
          <w:tcPr>
            <w:tcW w:w="9776" w:type="dxa"/>
          </w:tcPr>
          <w:p w14:paraId="27C67BA8" w14:textId="1788BAAB" w:rsidR="006D3BC4" w:rsidRPr="00394C65" w:rsidRDefault="00647646" w:rsidP="00AD6B1E">
            <w:pPr>
              <w:jc w:val="both"/>
              <w:rPr>
                <w:b/>
                <w:sz w:val="20"/>
                <w:szCs w:val="20"/>
              </w:rPr>
            </w:pPr>
            <w:r w:rsidRPr="00394C65">
              <w:rPr>
                <w:b/>
                <w:sz w:val="20"/>
                <w:szCs w:val="20"/>
              </w:rPr>
              <w:t xml:space="preserve">CHAPITRE </w:t>
            </w:r>
            <w:r w:rsidR="00AD6B1E" w:rsidRPr="00394C65">
              <w:rPr>
                <w:b/>
                <w:sz w:val="20"/>
                <w:szCs w:val="20"/>
              </w:rPr>
              <w:t xml:space="preserve">5 </w:t>
            </w:r>
            <w:r w:rsidRPr="00394C65">
              <w:rPr>
                <w:b/>
                <w:sz w:val="20"/>
                <w:szCs w:val="20"/>
              </w:rPr>
              <w:t>: SIGNALETIQUE</w:t>
            </w:r>
          </w:p>
        </w:tc>
        <w:tc>
          <w:tcPr>
            <w:tcW w:w="4394" w:type="dxa"/>
          </w:tcPr>
          <w:p w14:paraId="04829B6D" w14:textId="77777777" w:rsidR="006D3BC4" w:rsidRPr="00394C65" w:rsidRDefault="006D3BC4" w:rsidP="00835AB2">
            <w:pPr>
              <w:jc w:val="both"/>
              <w:rPr>
                <w:i/>
                <w:iCs/>
                <w:sz w:val="20"/>
                <w:szCs w:val="20"/>
              </w:rPr>
            </w:pPr>
          </w:p>
        </w:tc>
      </w:tr>
      <w:tr w:rsidR="00394C65" w:rsidRPr="00394C65" w14:paraId="5775AD48" w14:textId="77777777" w:rsidTr="00650100">
        <w:tc>
          <w:tcPr>
            <w:tcW w:w="9776" w:type="dxa"/>
          </w:tcPr>
          <w:p w14:paraId="4E17CA82" w14:textId="6A619AB7" w:rsidR="00D85091" w:rsidRPr="00394C65" w:rsidDel="00E609B7" w:rsidRDefault="00D85091" w:rsidP="00835AB2">
            <w:pPr>
              <w:jc w:val="both"/>
              <w:rPr>
                <w:b/>
                <w:sz w:val="20"/>
                <w:szCs w:val="20"/>
              </w:rPr>
            </w:pPr>
            <w:r w:rsidRPr="00394C65">
              <w:rPr>
                <w:b/>
                <w:sz w:val="20"/>
                <w:szCs w:val="20"/>
              </w:rPr>
              <w:t>Article 21 - Signalétique</w:t>
            </w:r>
          </w:p>
        </w:tc>
        <w:tc>
          <w:tcPr>
            <w:tcW w:w="4394" w:type="dxa"/>
          </w:tcPr>
          <w:p w14:paraId="01C0AB3B" w14:textId="77777777" w:rsidR="00D85091" w:rsidRPr="00394C65" w:rsidRDefault="00D85091" w:rsidP="00835AB2">
            <w:pPr>
              <w:jc w:val="both"/>
              <w:rPr>
                <w:i/>
                <w:iCs/>
                <w:sz w:val="20"/>
                <w:szCs w:val="20"/>
              </w:rPr>
            </w:pPr>
          </w:p>
        </w:tc>
      </w:tr>
      <w:tr w:rsidR="006D3BC4" w:rsidRPr="00394C65" w14:paraId="3A1DC6C8" w14:textId="77777777" w:rsidTr="00650100">
        <w:tc>
          <w:tcPr>
            <w:tcW w:w="9776" w:type="dxa"/>
          </w:tcPr>
          <w:p w14:paraId="59636961" w14:textId="77777777" w:rsidR="006D3BC4" w:rsidRPr="00394C65" w:rsidRDefault="006D3BC4" w:rsidP="00835AB2">
            <w:pPr>
              <w:jc w:val="both"/>
              <w:rPr>
                <w:sz w:val="20"/>
                <w:szCs w:val="20"/>
              </w:rPr>
            </w:pPr>
            <w:r w:rsidRPr="00394C65">
              <w:rPr>
                <w:sz w:val="20"/>
                <w:szCs w:val="20"/>
              </w:rPr>
              <w:t xml:space="preserve">Tout élément de signalétique doit être visible, lisible et compréhensible. </w:t>
            </w:r>
          </w:p>
          <w:p w14:paraId="55CE8980" w14:textId="77777777" w:rsidR="006D3BC4" w:rsidRPr="00394C65" w:rsidRDefault="006D3BC4" w:rsidP="00835AB2">
            <w:pPr>
              <w:jc w:val="both"/>
              <w:rPr>
                <w:sz w:val="20"/>
                <w:szCs w:val="20"/>
              </w:rPr>
            </w:pPr>
          </w:p>
          <w:p w14:paraId="6F7DD67A" w14:textId="77777777" w:rsidR="006D3BC4" w:rsidRPr="00394C65" w:rsidRDefault="006D3BC4" w:rsidP="00835AB2">
            <w:pPr>
              <w:jc w:val="both"/>
              <w:rPr>
                <w:bCs/>
                <w:sz w:val="20"/>
                <w:szCs w:val="20"/>
              </w:rPr>
            </w:pPr>
            <w:r w:rsidRPr="00394C65">
              <w:rPr>
                <w:bCs/>
                <w:sz w:val="20"/>
                <w:szCs w:val="20"/>
              </w:rPr>
              <w:t>Sont toujours à signaler :</w:t>
            </w:r>
          </w:p>
          <w:p w14:paraId="499A0480" w14:textId="2802BD44"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les </w:t>
            </w:r>
            <w:r w:rsidR="00E609B7" w:rsidRPr="00394C65">
              <w:rPr>
                <w:rFonts w:ascii="Times New Roman" w:hAnsi="Times New Roman" w:cs="Times New Roman"/>
                <w:sz w:val="20"/>
                <w:szCs w:val="20"/>
              </w:rPr>
              <w:t xml:space="preserve">emplacements de parcage </w:t>
            </w:r>
            <w:r w:rsidRPr="00394C65">
              <w:rPr>
                <w:rFonts w:ascii="Times New Roman" w:hAnsi="Times New Roman" w:cs="Times New Roman"/>
                <w:sz w:val="20"/>
                <w:szCs w:val="20"/>
              </w:rPr>
              <w:t xml:space="preserve">pour personnes à mobilité réduite ; </w:t>
            </w:r>
          </w:p>
          <w:p w14:paraId="34AB77D8" w14:textId="77777777"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les voie d’accès ;</w:t>
            </w:r>
          </w:p>
          <w:p w14:paraId="31216F0A" w14:textId="0C23B48F"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l’entrée et l’entrée accessible aux </w:t>
            </w:r>
            <w:r w:rsidR="00E609B7" w:rsidRPr="00394C65">
              <w:rPr>
                <w:rFonts w:ascii="Times New Roman" w:hAnsi="Times New Roman" w:cs="Times New Roman"/>
                <w:sz w:val="20"/>
                <w:szCs w:val="20"/>
              </w:rPr>
              <w:t xml:space="preserve">personnes à mobilité réduite </w:t>
            </w:r>
            <w:r w:rsidRPr="00394C65">
              <w:rPr>
                <w:rFonts w:ascii="Times New Roman" w:hAnsi="Times New Roman" w:cs="Times New Roman"/>
                <w:sz w:val="20"/>
                <w:szCs w:val="20"/>
              </w:rPr>
              <w:t>;</w:t>
            </w:r>
          </w:p>
          <w:p w14:paraId="6AAD96BE" w14:textId="77777777"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l’accueil ;</w:t>
            </w:r>
          </w:p>
          <w:p w14:paraId="207CD523" w14:textId="77777777"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les fonctions présentes ; </w:t>
            </w:r>
          </w:p>
          <w:p w14:paraId="70095895" w14:textId="77777777"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les circulations ; </w:t>
            </w:r>
          </w:p>
          <w:p w14:paraId="3198472A" w14:textId="50D27B6C"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les sanitaires et les sanitaires </w:t>
            </w:r>
            <w:r w:rsidR="002A3648" w:rsidRPr="00394C65">
              <w:rPr>
                <w:rFonts w:ascii="Times New Roman" w:hAnsi="Times New Roman" w:cs="Times New Roman"/>
                <w:sz w:val="20"/>
                <w:szCs w:val="20"/>
              </w:rPr>
              <w:t>adaptés les personnes à mobilité réduite</w:t>
            </w:r>
            <w:r w:rsidRPr="00394C65">
              <w:rPr>
                <w:rFonts w:ascii="Times New Roman" w:hAnsi="Times New Roman" w:cs="Times New Roman"/>
                <w:sz w:val="20"/>
                <w:szCs w:val="20"/>
              </w:rPr>
              <w:t> ;</w:t>
            </w:r>
          </w:p>
          <w:p w14:paraId="39EED3A0" w14:textId="633B9017" w:rsidR="006D3BC4" w:rsidRPr="00394C65"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394C65">
              <w:rPr>
                <w:rFonts w:ascii="Times New Roman" w:hAnsi="Times New Roman" w:cs="Times New Roman"/>
                <w:sz w:val="20"/>
                <w:szCs w:val="20"/>
              </w:rPr>
              <w:t xml:space="preserve">les évacuations et </w:t>
            </w:r>
            <w:r w:rsidR="002A3648" w:rsidRPr="00394C65">
              <w:rPr>
                <w:rFonts w:ascii="Times New Roman" w:hAnsi="Times New Roman" w:cs="Times New Roman"/>
                <w:sz w:val="20"/>
                <w:szCs w:val="20"/>
              </w:rPr>
              <w:t xml:space="preserve">les </w:t>
            </w:r>
            <w:r w:rsidRPr="00394C65">
              <w:rPr>
                <w:rFonts w:ascii="Times New Roman" w:hAnsi="Times New Roman" w:cs="Times New Roman"/>
                <w:sz w:val="20"/>
                <w:szCs w:val="20"/>
              </w:rPr>
              <w:t xml:space="preserve">évacuations </w:t>
            </w:r>
            <w:r w:rsidR="002A3648" w:rsidRPr="00394C65">
              <w:rPr>
                <w:rFonts w:ascii="Times New Roman" w:hAnsi="Times New Roman" w:cs="Times New Roman"/>
                <w:sz w:val="20"/>
                <w:szCs w:val="20"/>
              </w:rPr>
              <w:t>adaptées aux personnes à mobilité réduite.</w:t>
            </w:r>
          </w:p>
          <w:p w14:paraId="1A3971E6" w14:textId="77777777" w:rsidR="006D3BC4" w:rsidRPr="00394C65" w:rsidRDefault="006D3BC4" w:rsidP="00835AB2">
            <w:pPr>
              <w:jc w:val="both"/>
              <w:rPr>
                <w:sz w:val="20"/>
                <w:szCs w:val="20"/>
              </w:rPr>
            </w:pPr>
          </w:p>
        </w:tc>
        <w:tc>
          <w:tcPr>
            <w:tcW w:w="4394" w:type="dxa"/>
          </w:tcPr>
          <w:p w14:paraId="28D3570D" w14:textId="5BA8FDC2" w:rsidR="006D3BC4" w:rsidRPr="00394C65" w:rsidRDefault="006D3BC4" w:rsidP="00835AB2">
            <w:pPr>
              <w:jc w:val="both"/>
              <w:rPr>
                <w:sz w:val="20"/>
                <w:szCs w:val="20"/>
              </w:rPr>
            </w:pPr>
            <w:r w:rsidRPr="00394C65">
              <w:rPr>
                <w:sz w:val="20"/>
                <w:szCs w:val="20"/>
              </w:rPr>
              <w:lastRenderedPageBreak/>
              <w:t>Remarque : le guide d’aide à la conception d’un bâtiment accessible four</w:t>
            </w:r>
            <w:r w:rsidR="003736D7" w:rsidRPr="00394C65">
              <w:rPr>
                <w:sz w:val="20"/>
                <w:szCs w:val="20"/>
              </w:rPr>
              <w:t>n</w:t>
            </w:r>
            <w:r w:rsidRPr="00394C65">
              <w:rPr>
                <w:sz w:val="20"/>
                <w:szCs w:val="20"/>
              </w:rPr>
              <w:t>i</w:t>
            </w:r>
            <w:r w:rsidR="003736D7" w:rsidRPr="00394C65">
              <w:rPr>
                <w:sz w:val="20"/>
                <w:szCs w:val="20"/>
              </w:rPr>
              <w:t>t</w:t>
            </w:r>
            <w:r w:rsidRPr="00394C65">
              <w:rPr>
                <w:sz w:val="20"/>
                <w:szCs w:val="20"/>
              </w:rPr>
              <w:t xml:space="preserve"> des informations précises quant à, notamment, la forme, le contenu et la position des éléments de signalétique.</w:t>
            </w:r>
          </w:p>
          <w:p w14:paraId="4EBF6709" w14:textId="77777777" w:rsidR="006D3BC4" w:rsidRPr="00394C65" w:rsidRDefault="006D3BC4" w:rsidP="00835AB2">
            <w:pPr>
              <w:jc w:val="both"/>
              <w:rPr>
                <w:sz w:val="20"/>
                <w:szCs w:val="20"/>
              </w:rPr>
            </w:pPr>
          </w:p>
          <w:p w14:paraId="0A1547B5" w14:textId="7D1BED70" w:rsidR="006D3BC4" w:rsidRPr="00394C65" w:rsidRDefault="006D3BC4" w:rsidP="00835AB2">
            <w:pPr>
              <w:jc w:val="both"/>
              <w:rPr>
                <w:sz w:val="20"/>
                <w:szCs w:val="20"/>
              </w:rPr>
            </w:pPr>
            <w:r w:rsidRPr="00394C65">
              <w:rPr>
                <w:sz w:val="20"/>
                <w:szCs w:val="20"/>
              </w:rPr>
              <w:t>Les éléments de signalétique peuvent avoir différentes formes et être destinés à différents usages.</w:t>
            </w:r>
            <w:r w:rsidR="003736D7" w:rsidRPr="00394C65">
              <w:rPr>
                <w:sz w:val="20"/>
                <w:szCs w:val="20"/>
              </w:rPr>
              <w:t xml:space="preserve"> </w:t>
            </w:r>
            <w:r w:rsidRPr="00394C65">
              <w:rPr>
                <w:sz w:val="20"/>
                <w:szCs w:val="20"/>
              </w:rPr>
              <w:t xml:space="preserve">Ils viennent en support de l’architecture et/ou des aménagements ainsi qu’en support à l’activité humaine. </w:t>
            </w:r>
          </w:p>
          <w:p w14:paraId="6D6C8FFE" w14:textId="4A1F8F79" w:rsidR="006D3BC4" w:rsidRPr="00394C65" w:rsidRDefault="006D3BC4" w:rsidP="00835AB2">
            <w:pPr>
              <w:jc w:val="both"/>
              <w:rPr>
                <w:sz w:val="20"/>
                <w:szCs w:val="20"/>
              </w:rPr>
            </w:pPr>
            <w:r w:rsidRPr="00394C65">
              <w:rPr>
                <w:sz w:val="20"/>
                <w:szCs w:val="20"/>
              </w:rPr>
              <w:t xml:space="preserve">Qu’il s’agisse d’enseignes, de numéros postaux, d’écrans ou de panneaux d’information générale, </w:t>
            </w:r>
            <w:r w:rsidRPr="00394C65">
              <w:rPr>
                <w:sz w:val="20"/>
                <w:szCs w:val="20"/>
              </w:rPr>
              <w:lastRenderedPageBreak/>
              <w:t xml:space="preserve">d’orientation, de sécurité, d’information de danger, d’information d’urgence, ou d’information touristique, la signalétique répond à un certain nombres de critères. Ces critères peuvent être consultés dans le guide d’aide à la conception d’un bâtiment accessible. </w:t>
            </w:r>
          </w:p>
          <w:p w14:paraId="4E2D4786" w14:textId="77777777" w:rsidR="006D3BC4" w:rsidRPr="00394C65" w:rsidRDefault="006D3BC4" w:rsidP="004B1319">
            <w:pPr>
              <w:pStyle w:val="ListParagraph"/>
              <w:numPr>
                <w:ilvl w:val="0"/>
                <w:numId w:val="11"/>
              </w:numPr>
              <w:spacing w:after="0" w:line="240" w:lineRule="auto"/>
              <w:jc w:val="both"/>
              <w:rPr>
                <w:sz w:val="20"/>
                <w:szCs w:val="20"/>
              </w:rPr>
            </w:pPr>
          </w:p>
        </w:tc>
      </w:tr>
    </w:tbl>
    <w:p w14:paraId="16D6C7A3" w14:textId="77777777" w:rsidR="0090127E" w:rsidRPr="00394C65" w:rsidRDefault="0090127E" w:rsidP="00835AB2">
      <w:pPr>
        <w:jc w:val="both"/>
        <w:rPr>
          <w:sz w:val="20"/>
          <w:szCs w:val="20"/>
        </w:rPr>
      </w:pPr>
    </w:p>
    <w:sectPr w:rsidR="0090127E" w:rsidRPr="00394C65" w:rsidSect="006F7AF4">
      <w:headerReference w:type="default" r:id="rId10"/>
      <w:footerReference w:type="default" r:id="rId11"/>
      <w:pgSz w:w="16838" w:h="11906" w:orient="landscape"/>
      <w:pgMar w:top="107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6204" w14:textId="77777777" w:rsidR="00423318" w:rsidRDefault="00423318" w:rsidP="00DB4BAA">
      <w:r>
        <w:separator/>
      </w:r>
    </w:p>
  </w:endnote>
  <w:endnote w:type="continuationSeparator" w:id="0">
    <w:p w14:paraId="7C682D7A" w14:textId="77777777" w:rsidR="00423318" w:rsidRDefault="00423318" w:rsidP="00DB4BAA">
      <w:r>
        <w:continuationSeparator/>
      </w:r>
    </w:p>
  </w:endnote>
  <w:endnote w:type="continuationNotice" w:id="1">
    <w:p w14:paraId="41F09D7F" w14:textId="77777777" w:rsidR="00423318" w:rsidRDefault="00423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uisse Int'l">
    <w:altName w:val="Arial"/>
    <w:charset w:val="B2"/>
    <w:family w:val="swiss"/>
    <w:pitch w:val="variable"/>
    <w:sig w:usb0="A000227F" w:usb1="D000203B" w:usb2="00000008" w:usb3="00000000" w:csb0="000000D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423318" w14:paraId="665D5BCC" w14:textId="77777777" w:rsidTr="0025582E">
      <w:tc>
        <w:tcPr>
          <w:tcW w:w="4650" w:type="dxa"/>
        </w:tcPr>
        <w:p w14:paraId="54BA69AB" w14:textId="11F4C847" w:rsidR="00423318" w:rsidRDefault="00423318" w:rsidP="0025582E">
          <w:pPr>
            <w:pStyle w:val="Header"/>
            <w:ind w:left="-115"/>
          </w:pPr>
        </w:p>
      </w:tc>
      <w:tc>
        <w:tcPr>
          <w:tcW w:w="4650" w:type="dxa"/>
        </w:tcPr>
        <w:p w14:paraId="0BE13571" w14:textId="32352037" w:rsidR="00423318" w:rsidRDefault="00423318" w:rsidP="0025582E">
          <w:pPr>
            <w:pStyle w:val="Header"/>
            <w:jc w:val="center"/>
          </w:pPr>
        </w:p>
      </w:tc>
      <w:tc>
        <w:tcPr>
          <w:tcW w:w="4650" w:type="dxa"/>
        </w:tcPr>
        <w:p w14:paraId="207822C3" w14:textId="545C520E" w:rsidR="00423318" w:rsidRDefault="00423318" w:rsidP="0025582E">
          <w:pPr>
            <w:pStyle w:val="Header"/>
            <w:ind w:right="-115"/>
            <w:jc w:val="right"/>
          </w:pPr>
        </w:p>
      </w:tc>
    </w:tr>
  </w:tbl>
  <w:p w14:paraId="7A3F43CC" w14:textId="45E480EF" w:rsidR="00423318" w:rsidRDefault="0042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9C37" w14:textId="77777777" w:rsidR="00423318" w:rsidRDefault="00423318" w:rsidP="00DB4BAA">
      <w:r>
        <w:separator/>
      </w:r>
    </w:p>
  </w:footnote>
  <w:footnote w:type="continuationSeparator" w:id="0">
    <w:p w14:paraId="2BF73F06" w14:textId="77777777" w:rsidR="00423318" w:rsidRDefault="00423318" w:rsidP="00DB4BAA">
      <w:r>
        <w:continuationSeparator/>
      </w:r>
    </w:p>
  </w:footnote>
  <w:footnote w:type="continuationNotice" w:id="1">
    <w:p w14:paraId="059AD1BF" w14:textId="77777777" w:rsidR="00423318" w:rsidRDefault="00423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423318" w14:paraId="3E3FABFD" w14:textId="77777777" w:rsidTr="0025582E">
      <w:tc>
        <w:tcPr>
          <w:tcW w:w="4650" w:type="dxa"/>
        </w:tcPr>
        <w:p w14:paraId="3863A516" w14:textId="0C53E915" w:rsidR="00423318" w:rsidRDefault="00423318" w:rsidP="0025582E">
          <w:pPr>
            <w:pStyle w:val="Header"/>
            <w:ind w:left="-115"/>
          </w:pPr>
        </w:p>
      </w:tc>
      <w:tc>
        <w:tcPr>
          <w:tcW w:w="4650" w:type="dxa"/>
        </w:tcPr>
        <w:p w14:paraId="3AAFC4DA" w14:textId="245B958A" w:rsidR="00423318" w:rsidRDefault="00423318" w:rsidP="0025582E">
          <w:pPr>
            <w:pStyle w:val="Header"/>
            <w:jc w:val="center"/>
          </w:pPr>
        </w:p>
      </w:tc>
      <w:tc>
        <w:tcPr>
          <w:tcW w:w="4650" w:type="dxa"/>
        </w:tcPr>
        <w:p w14:paraId="58C16B64" w14:textId="2F118D72" w:rsidR="00423318" w:rsidRDefault="00423318" w:rsidP="0025582E">
          <w:pPr>
            <w:pStyle w:val="Header"/>
            <w:ind w:right="-115"/>
            <w:jc w:val="right"/>
          </w:pPr>
        </w:p>
      </w:tc>
    </w:tr>
  </w:tbl>
  <w:p w14:paraId="5586D881" w14:textId="67262705" w:rsidR="00423318" w:rsidRDefault="00423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107"/>
    <w:multiLevelType w:val="hybridMultilevel"/>
    <w:tmpl w:val="2D0A55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3A1CF6"/>
    <w:multiLevelType w:val="hybridMultilevel"/>
    <w:tmpl w:val="600E63FC"/>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6423710"/>
    <w:multiLevelType w:val="hybridMultilevel"/>
    <w:tmpl w:val="5CC8FB3A"/>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7D46DB8"/>
    <w:multiLevelType w:val="hybridMultilevel"/>
    <w:tmpl w:val="D576B342"/>
    <w:lvl w:ilvl="0" w:tplc="04090017">
      <w:start w:val="1"/>
      <w:numFmt w:val="lowerLetter"/>
      <w:lvlText w:val="%1)"/>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7EA5F0E"/>
    <w:multiLevelType w:val="hybridMultilevel"/>
    <w:tmpl w:val="D7B61F62"/>
    <w:lvl w:ilvl="0" w:tplc="2B328A84">
      <w:start w:val="4"/>
      <w:numFmt w:val="bullet"/>
      <w:lvlText w:val="-"/>
      <w:lvlJc w:val="left"/>
      <w:pPr>
        <w:ind w:left="1440" w:hanging="360"/>
      </w:pPr>
      <w:rPr>
        <w:rFonts w:ascii="Helvetica Neue" w:eastAsiaTheme="minorHAnsi" w:hAnsi="Helvetica Neue"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9152B9B"/>
    <w:multiLevelType w:val="hybridMultilevel"/>
    <w:tmpl w:val="41A49A60"/>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07622D7"/>
    <w:multiLevelType w:val="hybridMultilevel"/>
    <w:tmpl w:val="85DCC8A8"/>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14B1149"/>
    <w:multiLevelType w:val="hybridMultilevel"/>
    <w:tmpl w:val="B88699DE"/>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1D034134"/>
    <w:multiLevelType w:val="hybridMultilevel"/>
    <w:tmpl w:val="2E643014"/>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1E0860DC"/>
    <w:multiLevelType w:val="hybridMultilevel"/>
    <w:tmpl w:val="42AE7D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7A933C7"/>
    <w:multiLevelType w:val="hybridMultilevel"/>
    <w:tmpl w:val="541C26B8"/>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045ABB"/>
    <w:multiLevelType w:val="hybridMultilevel"/>
    <w:tmpl w:val="0E8E9B38"/>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9207CBF"/>
    <w:multiLevelType w:val="hybridMultilevel"/>
    <w:tmpl w:val="18164F6C"/>
    <w:lvl w:ilvl="0" w:tplc="BB3A4C4C">
      <w:numFmt w:val="bullet"/>
      <w:lvlText w:val="-"/>
      <w:lvlJc w:val="left"/>
      <w:pPr>
        <w:ind w:left="720" w:hanging="360"/>
      </w:pPr>
      <w:rPr>
        <w:rFonts w:ascii="Suisse Int'l" w:eastAsiaTheme="minorHAnsi" w:hAnsi="Suisse Int'l" w:cs="Suisse Int'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54363C"/>
    <w:multiLevelType w:val="hybridMultilevel"/>
    <w:tmpl w:val="BD782B30"/>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2C225530"/>
    <w:multiLevelType w:val="hybridMultilevel"/>
    <w:tmpl w:val="CD10578E"/>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C946B63"/>
    <w:multiLevelType w:val="hybridMultilevel"/>
    <w:tmpl w:val="1BF62376"/>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2E192BD8"/>
    <w:multiLevelType w:val="hybridMultilevel"/>
    <w:tmpl w:val="C936B3E6"/>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330A350F"/>
    <w:multiLevelType w:val="hybridMultilevel"/>
    <w:tmpl w:val="78E6B466"/>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0B7C47"/>
    <w:multiLevelType w:val="hybridMultilevel"/>
    <w:tmpl w:val="03C6440E"/>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3614DE3"/>
    <w:multiLevelType w:val="hybridMultilevel"/>
    <w:tmpl w:val="811EBB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43F1B7C"/>
    <w:multiLevelType w:val="hybridMultilevel"/>
    <w:tmpl w:val="5B2E89BA"/>
    <w:lvl w:ilvl="0" w:tplc="A0BA694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6621163"/>
    <w:multiLevelType w:val="hybridMultilevel"/>
    <w:tmpl w:val="81B0DBE2"/>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382C33B4"/>
    <w:multiLevelType w:val="hybridMultilevel"/>
    <w:tmpl w:val="755CD9E2"/>
    <w:lvl w:ilvl="0" w:tplc="2B328A84">
      <w:start w:val="4"/>
      <w:numFmt w:val="bullet"/>
      <w:lvlText w:val="-"/>
      <w:lvlJc w:val="left"/>
      <w:pPr>
        <w:ind w:left="343" w:hanging="360"/>
      </w:pPr>
      <w:rPr>
        <w:rFonts w:ascii="Helvetica Neue" w:eastAsiaTheme="minorHAnsi" w:hAnsi="Helvetica Neue" w:cs="Times New Roman" w:hint="default"/>
      </w:rPr>
    </w:lvl>
    <w:lvl w:ilvl="1" w:tplc="080C0003" w:tentative="1">
      <w:start w:val="1"/>
      <w:numFmt w:val="bullet"/>
      <w:lvlText w:val="o"/>
      <w:lvlJc w:val="left"/>
      <w:pPr>
        <w:ind w:left="1063" w:hanging="360"/>
      </w:pPr>
      <w:rPr>
        <w:rFonts w:ascii="Courier New" w:hAnsi="Courier New" w:cs="Courier New" w:hint="default"/>
      </w:rPr>
    </w:lvl>
    <w:lvl w:ilvl="2" w:tplc="080C0005" w:tentative="1">
      <w:start w:val="1"/>
      <w:numFmt w:val="bullet"/>
      <w:lvlText w:val=""/>
      <w:lvlJc w:val="left"/>
      <w:pPr>
        <w:ind w:left="1783" w:hanging="360"/>
      </w:pPr>
      <w:rPr>
        <w:rFonts w:ascii="Wingdings" w:hAnsi="Wingdings" w:hint="default"/>
      </w:rPr>
    </w:lvl>
    <w:lvl w:ilvl="3" w:tplc="080C0001" w:tentative="1">
      <w:start w:val="1"/>
      <w:numFmt w:val="bullet"/>
      <w:lvlText w:val=""/>
      <w:lvlJc w:val="left"/>
      <w:pPr>
        <w:ind w:left="2503" w:hanging="360"/>
      </w:pPr>
      <w:rPr>
        <w:rFonts w:ascii="Symbol" w:hAnsi="Symbol" w:hint="default"/>
      </w:rPr>
    </w:lvl>
    <w:lvl w:ilvl="4" w:tplc="080C0003" w:tentative="1">
      <w:start w:val="1"/>
      <w:numFmt w:val="bullet"/>
      <w:lvlText w:val="o"/>
      <w:lvlJc w:val="left"/>
      <w:pPr>
        <w:ind w:left="3223" w:hanging="360"/>
      </w:pPr>
      <w:rPr>
        <w:rFonts w:ascii="Courier New" w:hAnsi="Courier New" w:cs="Courier New" w:hint="default"/>
      </w:rPr>
    </w:lvl>
    <w:lvl w:ilvl="5" w:tplc="080C0005" w:tentative="1">
      <w:start w:val="1"/>
      <w:numFmt w:val="bullet"/>
      <w:lvlText w:val=""/>
      <w:lvlJc w:val="left"/>
      <w:pPr>
        <w:ind w:left="3943" w:hanging="360"/>
      </w:pPr>
      <w:rPr>
        <w:rFonts w:ascii="Wingdings" w:hAnsi="Wingdings" w:hint="default"/>
      </w:rPr>
    </w:lvl>
    <w:lvl w:ilvl="6" w:tplc="080C0001" w:tentative="1">
      <w:start w:val="1"/>
      <w:numFmt w:val="bullet"/>
      <w:lvlText w:val=""/>
      <w:lvlJc w:val="left"/>
      <w:pPr>
        <w:ind w:left="4663" w:hanging="360"/>
      </w:pPr>
      <w:rPr>
        <w:rFonts w:ascii="Symbol" w:hAnsi="Symbol" w:hint="default"/>
      </w:rPr>
    </w:lvl>
    <w:lvl w:ilvl="7" w:tplc="080C0003" w:tentative="1">
      <w:start w:val="1"/>
      <w:numFmt w:val="bullet"/>
      <w:lvlText w:val="o"/>
      <w:lvlJc w:val="left"/>
      <w:pPr>
        <w:ind w:left="5383" w:hanging="360"/>
      </w:pPr>
      <w:rPr>
        <w:rFonts w:ascii="Courier New" w:hAnsi="Courier New" w:cs="Courier New" w:hint="default"/>
      </w:rPr>
    </w:lvl>
    <w:lvl w:ilvl="8" w:tplc="080C0005" w:tentative="1">
      <w:start w:val="1"/>
      <w:numFmt w:val="bullet"/>
      <w:lvlText w:val=""/>
      <w:lvlJc w:val="left"/>
      <w:pPr>
        <w:ind w:left="6103" w:hanging="360"/>
      </w:pPr>
      <w:rPr>
        <w:rFonts w:ascii="Wingdings" w:hAnsi="Wingdings" w:hint="default"/>
      </w:rPr>
    </w:lvl>
  </w:abstractNum>
  <w:abstractNum w:abstractNumId="23" w15:restartNumberingAfterBreak="0">
    <w:nsid w:val="397C1757"/>
    <w:multiLevelType w:val="hybridMultilevel"/>
    <w:tmpl w:val="1EBA1AB2"/>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3A3070BD"/>
    <w:multiLevelType w:val="hybridMultilevel"/>
    <w:tmpl w:val="AF667440"/>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CD165FA"/>
    <w:multiLevelType w:val="hybridMultilevel"/>
    <w:tmpl w:val="0CEC14BA"/>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437A5792"/>
    <w:multiLevelType w:val="hybridMultilevel"/>
    <w:tmpl w:val="BA8658D4"/>
    <w:lvl w:ilvl="0" w:tplc="A0BA694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6846E21"/>
    <w:multiLevelType w:val="hybridMultilevel"/>
    <w:tmpl w:val="1F22DC10"/>
    <w:lvl w:ilvl="0" w:tplc="E6C4B122">
      <w:start w:val="1"/>
      <w:numFmt w:val="decimal"/>
      <w:lvlText w:val="%1°"/>
      <w:lvlJc w:val="left"/>
      <w:pPr>
        <w:ind w:left="360" w:hanging="360"/>
      </w:pPr>
      <w:rPr>
        <w:rFonts w:ascii="Times New Roman" w:hAnsi="Times New Roman" w:cs="Times New Roman" w:hint="default"/>
        <w:b w:val="0"/>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487609A3"/>
    <w:multiLevelType w:val="hybridMultilevel"/>
    <w:tmpl w:val="A608EF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DE33A2C"/>
    <w:multiLevelType w:val="hybridMultilevel"/>
    <w:tmpl w:val="C936B3E6"/>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506D1FF5"/>
    <w:multiLevelType w:val="hybridMultilevel"/>
    <w:tmpl w:val="473AF3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5781C06"/>
    <w:multiLevelType w:val="hybridMultilevel"/>
    <w:tmpl w:val="7908A93E"/>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561D575E"/>
    <w:multiLevelType w:val="hybridMultilevel"/>
    <w:tmpl w:val="1444F77C"/>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72F7E72"/>
    <w:multiLevelType w:val="hybridMultilevel"/>
    <w:tmpl w:val="8034D752"/>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4" w15:restartNumberingAfterBreak="0">
    <w:nsid w:val="5C98704D"/>
    <w:multiLevelType w:val="hybridMultilevel"/>
    <w:tmpl w:val="1B0E53D8"/>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4B820BD"/>
    <w:multiLevelType w:val="hybridMultilevel"/>
    <w:tmpl w:val="3A7619EA"/>
    <w:lvl w:ilvl="0" w:tplc="9DCC312E">
      <w:start w:val="1"/>
      <w:numFmt w:val="decimal"/>
      <w:lvlText w:val="%1°"/>
      <w:lvlJc w:val="left"/>
      <w:pPr>
        <w:ind w:left="360" w:hanging="360"/>
      </w:pPr>
      <w:rPr>
        <w:rFonts w:ascii="Times New Roman" w:hAnsi="Times New Roman" w:cs="Times New Roman" w:hint="default"/>
        <w:color w:val="auto"/>
      </w:rPr>
    </w:lvl>
    <w:lvl w:ilvl="1" w:tplc="9DCC312E">
      <w:start w:val="1"/>
      <w:numFmt w:val="decimal"/>
      <w:lvlText w:val="%2°"/>
      <w:lvlJc w:val="left"/>
      <w:pPr>
        <w:ind w:left="1080" w:hanging="360"/>
      </w:pPr>
      <w:rPr>
        <w:rFonts w:ascii="Times New Roman" w:hAnsi="Times New Roman" w:cs="Times New Roman" w:hint="default"/>
        <w:color w:val="auto"/>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6" w15:restartNumberingAfterBreak="0">
    <w:nsid w:val="67C94C37"/>
    <w:multiLevelType w:val="hybridMultilevel"/>
    <w:tmpl w:val="45B8FE86"/>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93E3674"/>
    <w:multiLevelType w:val="hybridMultilevel"/>
    <w:tmpl w:val="712039C4"/>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8" w15:restartNumberingAfterBreak="0">
    <w:nsid w:val="6A85483E"/>
    <w:multiLevelType w:val="hybridMultilevel"/>
    <w:tmpl w:val="79702058"/>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9" w15:restartNumberingAfterBreak="0">
    <w:nsid w:val="6CE970FE"/>
    <w:multiLevelType w:val="hybridMultilevel"/>
    <w:tmpl w:val="2A509E2C"/>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2A20105"/>
    <w:multiLevelType w:val="hybridMultilevel"/>
    <w:tmpl w:val="81E6CD68"/>
    <w:lvl w:ilvl="0" w:tplc="A0BA694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7BE0AF7"/>
    <w:multiLevelType w:val="hybridMultilevel"/>
    <w:tmpl w:val="D0DAD0BA"/>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7B5D7390"/>
    <w:multiLevelType w:val="hybridMultilevel"/>
    <w:tmpl w:val="7780CE2E"/>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6"/>
  </w:num>
  <w:num w:numId="2">
    <w:abstractNumId w:val="30"/>
  </w:num>
  <w:num w:numId="3">
    <w:abstractNumId w:val="9"/>
  </w:num>
  <w:num w:numId="4">
    <w:abstractNumId w:val="19"/>
  </w:num>
  <w:num w:numId="5">
    <w:abstractNumId w:val="4"/>
  </w:num>
  <w:num w:numId="6">
    <w:abstractNumId w:val="42"/>
  </w:num>
  <w:num w:numId="7">
    <w:abstractNumId w:val="11"/>
  </w:num>
  <w:num w:numId="8">
    <w:abstractNumId w:val="20"/>
  </w:num>
  <w:num w:numId="9">
    <w:abstractNumId w:val="40"/>
  </w:num>
  <w:num w:numId="10">
    <w:abstractNumId w:val="24"/>
  </w:num>
  <w:num w:numId="11">
    <w:abstractNumId w:val="25"/>
  </w:num>
  <w:num w:numId="12">
    <w:abstractNumId w:val="36"/>
  </w:num>
  <w:num w:numId="13">
    <w:abstractNumId w:val="17"/>
  </w:num>
  <w:num w:numId="14">
    <w:abstractNumId w:val="22"/>
  </w:num>
  <w:num w:numId="15">
    <w:abstractNumId w:val="10"/>
  </w:num>
  <w:num w:numId="16">
    <w:abstractNumId w:val="28"/>
  </w:num>
  <w:num w:numId="17">
    <w:abstractNumId w:val="0"/>
  </w:num>
  <w:num w:numId="18">
    <w:abstractNumId w:val="12"/>
  </w:num>
  <w:num w:numId="19">
    <w:abstractNumId w:val="29"/>
  </w:num>
  <w:num w:numId="20">
    <w:abstractNumId w:val="16"/>
  </w:num>
  <w:num w:numId="21">
    <w:abstractNumId w:val="31"/>
  </w:num>
  <w:num w:numId="22">
    <w:abstractNumId w:val="3"/>
  </w:num>
  <w:num w:numId="23">
    <w:abstractNumId w:val="13"/>
  </w:num>
  <w:num w:numId="24">
    <w:abstractNumId w:val="7"/>
  </w:num>
  <w:num w:numId="25">
    <w:abstractNumId w:val="34"/>
  </w:num>
  <w:num w:numId="26">
    <w:abstractNumId w:val="1"/>
  </w:num>
  <w:num w:numId="27">
    <w:abstractNumId w:val="23"/>
  </w:num>
  <w:num w:numId="28">
    <w:abstractNumId w:val="37"/>
  </w:num>
  <w:num w:numId="29">
    <w:abstractNumId w:val="39"/>
  </w:num>
  <w:num w:numId="30">
    <w:abstractNumId w:val="35"/>
  </w:num>
  <w:num w:numId="31">
    <w:abstractNumId w:val="15"/>
  </w:num>
  <w:num w:numId="32">
    <w:abstractNumId w:val="27"/>
  </w:num>
  <w:num w:numId="33">
    <w:abstractNumId w:val="14"/>
  </w:num>
  <w:num w:numId="34">
    <w:abstractNumId w:val="8"/>
  </w:num>
  <w:num w:numId="35">
    <w:abstractNumId w:val="41"/>
  </w:num>
  <w:num w:numId="36">
    <w:abstractNumId w:val="32"/>
  </w:num>
  <w:num w:numId="37">
    <w:abstractNumId w:val="18"/>
  </w:num>
  <w:num w:numId="38">
    <w:abstractNumId w:val="33"/>
  </w:num>
  <w:num w:numId="39">
    <w:abstractNumId w:val="38"/>
  </w:num>
  <w:num w:numId="40">
    <w:abstractNumId w:val="6"/>
  </w:num>
  <w:num w:numId="41">
    <w:abstractNumId w:val="2"/>
  </w:num>
  <w:num w:numId="42">
    <w:abstractNumId w:val="21"/>
  </w:num>
  <w:num w:numId="43">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3026"/>
    <w:rsid w:val="000039DF"/>
    <w:rsid w:val="00003A14"/>
    <w:rsid w:val="00005F02"/>
    <w:rsid w:val="00006500"/>
    <w:rsid w:val="0000704D"/>
    <w:rsid w:val="00007330"/>
    <w:rsid w:val="00010439"/>
    <w:rsid w:val="00010B89"/>
    <w:rsid w:val="00011142"/>
    <w:rsid w:val="000115D2"/>
    <w:rsid w:val="00011AB4"/>
    <w:rsid w:val="0001304A"/>
    <w:rsid w:val="000131EA"/>
    <w:rsid w:val="000168C8"/>
    <w:rsid w:val="00016AD7"/>
    <w:rsid w:val="00017976"/>
    <w:rsid w:val="00017ECE"/>
    <w:rsid w:val="00017EE3"/>
    <w:rsid w:val="000228C1"/>
    <w:rsid w:val="00022924"/>
    <w:rsid w:val="00022D0D"/>
    <w:rsid w:val="00022F00"/>
    <w:rsid w:val="0002333E"/>
    <w:rsid w:val="000234E8"/>
    <w:rsid w:val="00023E72"/>
    <w:rsid w:val="00024026"/>
    <w:rsid w:val="000247FC"/>
    <w:rsid w:val="00024E07"/>
    <w:rsid w:val="00026388"/>
    <w:rsid w:val="0002643E"/>
    <w:rsid w:val="0002691C"/>
    <w:rsid w:val="00031977"/>
    <w:rsid w:val="00032490"/>
    <w:rsid w:val="00034149"/>
    <w:rsid w:val="00034C15"/>
    <w:rsid w:val="0003644F"/>
    <w:rsid w:val="000377DC"/>
    <w:rsid w:val="000379C1"/>
    <w:rsid w:val="00040B28"/>
    <w:rsid w:val="00042218"/>
    <w:rsid w:val="0004241D"/>
    <w:rsid w:val="00043186"/>
    <w:rsid w:val="00044414"/>
    <w:rsid w:val="00044F06"/>
    <w:rsid w:val="0004623E"/>
    <w:rsid w:val="00046338"/>
    <w:rsid w:val="00046BE8"/>
    <w:rsid w:val="00046E80"/>
    <w:rsid w:val="000527E2"/>
    <w:rsid w:val="00055072"/>
    <w:rsid w:val="00055684"/>
    <w:rsid w:val="000556E4"/>
    <w:rsid w:val="00057C69"/>
    <w:rsid w:val="00061657"/>
    <w:rsid w:val="00062280"/>
    <w:rsid w:val="0006286C"/>
    <w:rsid w:val="00063168"/>
    <w:rsid w:val="0006714B"/>
    <w:rsid w:val="00067D2D"/>
    <w:rsid w:val="0007125A"/>
    <w:rsid w:val="00072172"/>
    <w:rsid w:val="00074C1E"/>
    <w:rsid w:val="000758E9"/>
    <w:rsid w:val="00076FE2"/>
    <w:rsid w:val="0007740B"/>
    <w:rsid w:val="00077BC6"/>
    <w:rsid w:val="000808AB"/>
    <w:rsid w:val="00082C54"/>
    <w:rsid w:val="00083FB2"/>
    <w:rsid w:val="00085BCD"/>
    <w:rsid w:val="00086E5D"/>
    <w:rsid w:val="0009051C"/>
    <w:rsid w:val="0009222C"/>
    <w:rsid w:val="0009522F"/>
    <w:rsid w:val="00096210"/>
    <w:rsid w:val="000A034E"/>
    <w:rsid w:val="000A065A"/>
    <w:rsid w:val="000A205C"/>
    <w:rsid w:val="000A2E39"/>
    <w:rsid w:val="000A4703"/>
    <w:rsid w:val="000A4768"/>
    <w:rsid w:val="000A5584"/>
    <w:rsid w:val="000A570B"/>
    <w:rsid w:val="000A6798"/>
    <w:rsid w:val="000A6D3D"/>
    <w:rsid w:val="000A7373"/>
    <w:rsid w:val="000B11B3"/>
    <w:rsid w:val="000B1B02"/>
    <w:rsid w:val="000B1BAC"/>
    <w:rsid w:val="000B2092"/>
    <w:rsid w:val="000B3EDA"/>
    <w:rsid w:val="000B417F"/>
    <w:rsid w:val="000B4732"/>
    <w:rsid w:val="000B567A"/>
    <w:rsid w:val="000B6056"/>
    <w:rsid w:val="000B65C8"/>
    <w:rsid w:val="000B7C84"/>
    <w:rsid w:val="000C2A75"/>
    <w:rsid w:val="000C366A"/>
    <w:rsid w:val="000C4CA2"/>
    <w:rsid w:val="000C556A"/>
    <w:rsid w:val="000C6C42"/>
    <w:rsid w:val="000C7363"/>
    <w:rsid w:val="000C7686"/>
    <w:rsid w:val="000D141D"/>
    <w:rsid w:val="000D14B6"/>
    <w:rsid w:val="000D19CA"/>
    <w:rsid w:val="000D2D36"/>
    <w:rsid w:val="000D2E1E"/>
    <w:rsid w:val="000D3205"/>
    <w:rsid w:val="000D38D1"/>
    <w:rsid w:val="000D6B88"/>
    <w:rsid w:val="000E01D9"/>
    <w:rsid w:val="000E094E"/>
    <w:rsid w:val="000E1860"/>
    <w:rsid w:val="000E223B"/>
    <w:rsid w:val="000E24DD"/>
    <w:rsid w:val="000E2619"/>
    <w:rsid w:val="000E39F6"/>
    <w:rsid w:val="000E3F11"/>
    <w:rsid w:val="000E4232"/>
    <w:rsid w:val="000E6CE6"/>
    <w:rsid w:val="000E7D6A"/>
    <w:rsid w:val="000F11E2"/>
    <w:rsid w:val="000F1DD4"/>
    <w:rsid w:val="000F2467"/>
    <w:rsid w:val="000F3563"/>
    <w:rsid w:val="000F3858"/>
    <w:rsid w:val="000F40AE"/>
    <w:rsid w:val="000F5038"/>
    <w:rsid w:val="000F76CF"/>
    <w:rsid w:val="000FA659"/>
    <w:rsid w:val="00107441"/>
    <w:rsid w:val="00107F09"/>
    <w:rsid w:val="00111113"/>
    <w:rsid w:val="001120FA"/>
    <w:rsid w:val="00112DC9"/>
    <w:rsid w:val="00113EEB"/>
    <w:rsid w:val="00114640"/>
    <w:rsid w:val="00117B41"/>
    <w:rsid w:val="001202FC"/>
    <w:rsid w:val="001205F7"/>
    <w:rsid w:val="0012215D"/>
    <w:rsid w:val="0012431D"/>
    <w:rsid w:val="00124E27"/>
    <w:rsid w:val="00125F4A"/>
    <w:rsid w:val="00126502"/>
    <w:rsid w:val="00127926"/>
    <w:rsid w:val="001317C4"/>
    <w:rsid w:val="00133BA3"/>
    <w:rsid w:val="00134866"/>
    <w:rsid w:val="001351DC"/>
    <w:rsid w:val="00136453"/>
    <w:rsid w:val="00136E5A"/>
    <w:rsid w:val="00137757"/>
    <w:rsid w:val="00141BF9"/>
    <w:rsid w:val="00141DE3"/>
    <w:rsid w:val="001432BC"/>
    <w:rsid w:val="001438B9"/>
    <w:rsid w:val="001439CC"/>
    <w:rsid w:val="0014537B"/>
    <w:rsid w:val="00145DBE"/>
    <w:rsid w:val="00145E96"/>
    <w:rsid w:val="00146103"/>
    <w:rsid w:val="001464E1"/>
    <w:rsid w:val="00147D00"/>
    <w:rsid w:val="00150751"/>
    <w:rsid w:val="0015250C"/>
    <w:rsid w:val="00153C10"/>
    <w:rsid w:val="00160BEF"/>
    <w:rsid w:val="00162432"/>
    <w:rsid w:val="0016273F"/>
    <w:rsid w:val="00163596"/>
    <w:rsid w:val="00163C6D"/>
    <w:rsid w:val="00164BC0"/>
    <w:rsid w:val="00166A65"/>
    <w:rsid w:val="00167647"/>
    <w:rsid w:val="00167772"/>
    <w:rsid w:val="00170AD4"/>
    <w:rsid w:val="00170D2E"/>
    <w:rsid w:val="0017172B"/>
    <w:rsid w:val="001748DA"/>
    <w:rsid w:val="001818E1"/>
    <w:rsid w:val="00182BA6"/>
    <w:rsid w:val="00182EFA"/>
    <w:rsid w:val="0018544E"/>
    <w:rsid w:val="00186D65"/>
    <w:rsid w:val="0019004D"/>
    <w:rsid w:val="00192158"/>
    <w:rsid w:val="001926E0"/>
    <w:rsid w:val="00192F4E"/>
    <w:rsid w:val="00193B62"/>
    <w:rsid w:val="00194C50"/>
    <w:rsid w:val="0019501F"/>
    <w:rsid w:val="00195615"/>
    <w:rsid w:val="00196582"/>
    <w:rsid w:val="00196D0E"/>
    <w:rsid w:val="001975EF"/>
    <w:rsid w:val="001A109F"/>
    <w:rsid w:val="001A2F46"/>
    <w:rsid w:val="001A3A6A"/>
    <w:rsid w:val="001A3CED"/>
    <w:rsid w:val="001A4CC2"/>
    <w:rsid w:val="001A55C9"/>
    <w:rsid w:val="001A6A94"/>
    <w:rsid w:val="001B05EB"/>
    <w:rsid w:val="001B22FE"/>
    <w:rsid w:val="001B24DC"/>
    <w:rsid w:val="001B3E4F"/>
    <w:rsid w:val="001B48C1"/>
    <w:rsid w:val="001B57F9"/>
    <w:rsid w:val="001B6F72"/>
    <w:rsid w:val="001C0685"/>
    <w:rsid w:val="001C1DB3"/>
    <w:rsid w:val="001C2241"/>
    <w:rsid w:val="001C3560"/>
    <w:rsid w:val="001C4E5C"/>
    <w:rsid w:val="001C53A6"/>
    <w:rsid w:val="001C5725"/>
    <w:rsid w:val="001C74EC"/>
    <w:rsid w:val="001D114B"/>
    <w:rsid w:val="001D142B"/>
    <w:rsid w:val="001D68EB"/>
    <w:rsid w:val="001D6C6A"/>
    <w:rsid w:val="001D72CE"/>
    <w:rsid w:val="001E192C"/>
    <w:rsid w:val="001E24DF"/>
    <w:rsid w:val="001E3E3E"/>
    <w:rsid w:val="001F0C92"/>
    <w:rsid w:val="001F1A73"/>
    <w:rsid w:val="001F36A1"/>
    <w:rsid w:val="001F5ADE"/>
    <w:rsid w:val="001F659E"/>
    <w:rsid w:val="001F6601"/>
    <w:rsid w:val="001F77AD"/>
    <w:rsid w:val="001F7B79"/>
    <w:rsid w:val="001F7BB3"/>
    <w:rsid w:val="002008C4"/>
    <w:rsid w:val="00201442"/>
    <w:rsid w:val="0020291F"/>
    <w:rsid w:val="00202B93"/>
    <w:rsid w:val="00202D24"/>
    <w:rsid w:val="00203186"/>
    <w:rsid w:val="0020348E"/>
    <w:rsid w:val="00203546"/>
    <w:rsid w:val="002042D8"/>
    <w:rsid w:val="002052B2"/>
    <w:rsid w:val="00207753"/>
    <w:rsid w:val="002100B2"/>
    <w:rsid w:val="00211919"/>
    <w:rsid w:val="00211B1E"/>
    <w:rsid w:val="0021391D"/>
    <w:rsid w:val="00215D31"/>
    <w:rsid w:val="00215EC8"/>
    <w:rsid w:val="00217D18"/>
    <w:rsid w:val="00220217"/>
    <w:rsid w:val="00221218"/>
    <w:rsid w:val="00222BAD"/>
    <w:rsid w:val="00223792"/>
    <w:rsid w:val="002237E5"/>
    <w:rsid w:val="002240EF"/>
    <w:rsid w:val="00225D06"/>
    <w:rsid w:val="00225D34"/>
    <w:rsid w:val="002311D7"/>
    <w:rsid w:val="00231774"/>
    <w:rsid w:val="0023260B"/>
    <w:rsid w:val="0023467A"/>
    <w:rsid w:val="00235188"/>
    <w:rsid w:val="00235BD3"/>
    <w:rsid w:val="002374C5"/>
    <w:rsid w:val="00237CBD"/>
    <w:rsid w:val="002401CA"/>
    <w:rsid w:val="002401CC"/>
    <w:rsid w:val="002416D8"/>
    <w:rsid w:val="002418F1"/>
    <w:rsid w:val="002432DE"/>
    <w:rsid w:val="00243FA7"/>
    <w:rsid w:val="00244C61"/>
    <w:rsid w:val="00246472"/>
    <w:rsid w:val="00246597"/>
    <w:rsid w:val="002471F1"/>
    <w:rsid w:val="0025120A"/>
    <w:rsid w:val="00251C6B"/>
    <w:rsid w:val="00252035"/>
    <w:rsid w:val="0025582E"/>
    <w:rsid w:val="00257710"/>
    <w:rsid w:val="00260C38"/>
    <w:rsid w:val="00260E19"/>
    <w:rsid w:val="00262E2A"/>
    <w:rsid w:val="002638D4"/>
    <w:rsid w:val="00264C93"/>
    <w:rsid w:val="002654A5"/>
    <w:rsid w:val="002658A7"/>
    <w:rsid w:val="002678E4"/>
    <w:rsid w:val="00270185"/>
    <w:rsid w:val="00270B93"/>
    <w:rsid w:val="0027107D"/>
    <w:rsid w:val="00271704"/>
    <w:rsid w:val="002729F0"/>
    <w:rsid w:val="00274772"/>
    <w:rsid w:val="0027591C"/>
    <w:rsid w:val="00282CCA"/>
    <w:rsid w:val="00283AAC"/>
    <w:rsid w:val="00285146"/>
    <w:rsid w:val="002854CE"/>
    <w:rsid w:val="00286F4D"/>
    <w:rsid w:val="00287026"/>
    <w:rsid w:val="0028767D"/>
    <w:rsid w:val="00290492"/>
    <w:rsid w:val="00291DD5"/>
    <w:rsid w:val="00291EAD"/>
    <w:rsid w:val="002929AA"/>
    <w:rsid w:val="002934F8"/>
    <w:rsid w:val="00293B1F"/>
    <w:rsid w:val="00295E40"/>
    <w:rsid w:val="00296CBD"/>
    <w:rsid w:val="00297CE8"/>
    <w:rsid w:val="00297ECC"/>
    <w:rsid w:val="00297F37"/>
    <w:rsid w:val="002A0CA6"/>
    <w:rsid w:val="002A11C9"/>
    <w:rsid w:val="002A13BE"/>
    <w:rsid w:val="002A1446"/>
    <w:rsid w:val="002A216C"/>
    <w:rsid w:val="002A3648"/>
    <w:rsid w:val="002A4228"/>
    <w:rsid w:val="002A451C"/>
    <w:rsid w:val="002A48C9"/>
    <w:rsid w:val="002A4B5B"/>
    <w:rsid w:val="002A5E25"/>
    <w:rsid w:val="002B00F5"/>
    <w:rsid w:val="002B04FA"/>
    <w:rsid w:val="002B15D3"/>
    <w:rsid w:val="002B268D"/>
    <w:rsid w:val="002B3385"/>
    <w:rsid w:val="002B42FE"/>
    <w:rsid w:val="002B474B"/>
    <w:rsid w:val="002B53DC"/>
    <w:rsid w:val="002B54D1"/>
    <w:rsid w:val="002B606B"/>
    <w:rsid w:val="002B616C"/>
    <w:rsid w:val="002B6765"/>
    <w:rsid w:val="002B7D80"/>
    <w:rsid w:val="002C1409"/>
    <w:rsid w:val="002C1631"/>
    <w:rsid w:val="002C38BE"/>
    <w:rsid w:val="002C4E33"/>
    <w:rsid w:val="002C528D"/>
    <w:rsid w:val="002C70FC"/>
    <w:rsid w:val="002C754B"/>
    <w:rsid w:val="002D02DD"/>
    <w:rsid w:val="002D2215"/>
    <w:rsid w:val="002D388B"/>
    <w:rsid w:val="002D3DBB"/>
    <w:rsid w:val="002D49A5"/>
    <w:rsid w:val="002D60F8"/>
    <w:rsid w:val="002D7B94"/>
    <w:rsid w:val="002D7CF7"/>
    <w:rsid w:val="002E1115"/>
    <w:rsid w:val="002E337A"/>
    <w:rsid w:val="002E3A9B"/>
    <w:rsid w:val="002E5C44"/>
    <w:rsid w:val="002E634F"/>
    <w:rsid w:val="002E6B27"/>
    <w:rsid w:val="002F0025"/>
    <w:rsid w:val="002F15D6"/>
    <w:rsid w:val="002F1CC6"/>
    <w:rsid w:val="002F238E"/>
    <w:rsid w:val="002F28A8"/>
    <w:rsid w:val="002F2BDA"/>
    <w:rsid w:val="002F375E"/>
    <w:rsid w:val="002F4201"/>
    <w:rsid w:val="002F57F1"/>
    <w:rsid w:val="002F5E10"/>
    <w:rsid w:val="002F6573"/>
    <w:rsid w:val="002F6F75"/>
    <w:rsid w:val="0030008B"/>
    <w:rsid w:val="00301177"/>
    <w:rsid w:val="003023E7"/>
    <w:rsid w:val="00302C1F"/>
    <w:rsid w:val="00303D2A"/>
    <w:rsid w:val="003046D8"/>
    <w:rsid w:val="00304E53"/>
    <w:rsid w:val="003054A0"/>
    <w:rsid w:val="00305543"/>
    <w:rsid w:val="00305ADC"/>
    <w:rsid w:val="00305EC8"/>
    <w:rsid w:val="003106D0"/>
    <w:rsid w:val="0031072C"/>
    <w:rsid w:val="003156FF"/>
    <w:rsid w:val="0032110E"/>
    <w:rsid w:val="003246FF"/>
    <w:rsid w:val="00325063"/>
    <w:rsid w:val="00326F11"/>
    <w:rsid w:val="00330F76"/>
    <w:rsid w:val="003314CF"/>
    <w:rsid w:val="00332521"/>
    <w:rsid w:val="00334168"/>
    <w:rsid w:val="00334CAC"/>
    <w:rsid w:val="003362D0"/>
    <w:rsid w:val="0033714E"/>
    <w:rsid w:val="003411F2"/>
    <w:rsid w:val="00341CE3"/>
    <w:rsid w:val="00342090"/>
    <w:rsid w:val="0034281F"/>
    <w:rsid w:val="00342FA5"/>
    <w:rsid w:val="00345C14"/>
    <w:rsid w:val="003462F7"/>
    <w:rsid w:val="00350FB6"/>
    <w:rsid w:val="00351BB7"/>
    <w:rsid w:val="00351E3A"/>
    <w:rsid w:val="00352437"/>
    <w:rsid w:val="00353F78"/>
    <w:rsid w:val="0035404B"/>
    <w:rsid w:val="00354B23"/>
    <w:rsid w:val="00354FB2"/>
    <w:rsid w:val="00355BAA"/>
    <w:rsid w:val="00360F71"/>
    <w:rsid w:val="00364A4C"/>
    <w:rsid w:val="00364DC7"/>
    <w:rsid w:val="003677E0"/>
    <w:rsid w:val="00371349"/>
    <w:rsid w:val="0037234D"/>
    <w:rsid w:val="00372676"/>
    <w:rsid w:val="00372E4D"/>
    <w:rsid w:val="00372E62"/>
    <w:rsid w:val="00373448"/>
    <w:rsid w:val="003736D7"/>
    <w:rsid w:val="00373A89"/>
    <w:rsid w:val="00376CBB"/>
    <w:rsid w:val="00377873"/>
    <w:rsid w:val="00380BB9"/>
    <w:rsid w:val="00383C5D"/>
    <w:rsid w:val="00384312"/>
    <w:rsid w:val="00384C6B"/>
    <w:rsid w:val="0038718D"/>
    <w:rsid w:val="003875FC"/>
    <w:rsid w:val="00387B10"/>
    <w:rsid w:val="00392064"/>
    <w:rsid w:val="003925D7"/>
    <w:rsid w:val="003932B6"/>
    <w:rsid w:val="00393EE7"/>
    <w:rsid w:val="003949E0"/>
    <w:rsid w:val="00394C65"/>
    <w:rsid w:val="00394FD7"/>
    <w:rsid w:val="003968B7"/>
    <w:rsid w:val="0039758F"/>
    <w:rsid w:val="0039765B"/>
    <w:rsid w:val="00397C53"/>
    <w:rsid w:val="003A20B7"/>
    <w:rsid w:val="003A4185"/>
    <w:rsid w:val="003A430F"/>
    <w:rsid w:val="003A4EC7"/>
    <w:rsid w:val="003A6922"/>
    <w:rsid w:val="003A7F01"/>
    <w:rsid w:val="003B02DF"/>
    <w:rsid w:val="003B1538"/>
    <w:rsid w:val="003B25B1"/>
    <w:rsid w:val="003B4B58"/>
    <w:rsid w:val="003B698D"/>
    <w:rsid w:val="003B7838"/>
    <w:rsid w:val="003B7EB7"/>
    <w:rsid w:val="003C0988"/>
    <w:rsid w:val="003C0C31"/>
    <w:rsid w:val="003C19C4"/>
    <w:rsid w:val="003C2B03"/>
    <w:rsid w:val="003C2CC9"/>
    <w:rsid w:val="003C39C7"/>
    <w:rsid w:val="003C496A"/>
    <w:rsid w:val="003C4BB0"/>
    <w:rsid w:val="003C4D5C"/>
    <w:rsid w:val="003C53E3"/>
    <w:rsid w:val="003C5AA3"/>
    <w:rsid w:val="003C5D89"/>
    <w:rsid w:val="003C66C3"/>
    <w:rsid w:val="003C68E7"/>
    <w:rsid w:val="003C69A8"/>
    <w:rsid w:val="003C6E59"/>
    <w:rsid w:val="003C7B40"/>
    <w:rsid w:val="003C7D2F"/>
    <w:rsid w:val="003D1FB8"/>
    <w:rsid w:val="003D42D8"/>
    <w:rsid w:val="003D4CC0"/>
    <w:rsid w:val="003D735B"/>
    <w:rsid w:val="003E07FA"/>
    <w:rsid w:val="003E09F4"/>
    <w:rsid w:val="003E1EE5"/>
    <w:rsid w:val="003E2217"/>
    <w:rsid w:val="003E23AA"/>
    <w:rsid w:val="003E2556"/>
    <w:rsid w:val="003E3FE0"/>
    <w:rsid w:val="003E4BC0"/>
    <w:rsid w:val="003E5588"/>
    <w:rsid w:val="003E56F5"/>
    <w:rsid w:val="003E7286"/>
    <w:rsid w:val="003F048C"/>
    <w:rsid w:val="003F1938"/>
    <w:rsid w:val="003F40D1"/>
    <w:rsid w:val="003F447A"/>
    <w:rsid w:val="003F55C3"/>
    <w:rsid w:val="003F7B97"/>
    <w:rsid w:val="003F7F2A"/>
    <w:rsid w:val="0040232D"/>
    <w:rsid w:val="00403AD9"/>
    <w:rsid w:val="00403BA3"/>
    <w:rsid w:val="00405D44"/>
    <w:rsid w:val="00406212"/>
    <w:rsid w:val="00406C23"/>
    <w:rsid w:val="004071B1"/>
    <w:rsid w:val="00407B05"/>
    <w:rsid w:val="0041038F"/>
    <w:rsid w:val="00411084"/>
    <w:rsid w:val="00412DA4"/>
    <w:rsid w:val="004131A2"/>
    <w:rsid w:val="00413365"/>
    <w:rsid w:val="00413BA0"/>
    <w:rsid w:val="004146BD"/>
    <w:rsid w:val="004148F2"/>
    <w:rsid w:val="00414D02"/>
    <w:rsid w:val="00414FA4"/>
    <w:rsid w:val="00415C00"/>
    <w:rsid w:val="00417F5E"/>
    <w:rsid w:val="00420433"/>
    <w:rsid w:val="00420AB4"/>
    <w:rsid w:val="004212A9"/>
    <w:rsid w:val="004217F6"/>
    <w:rsid w:val="0042257D"/>
    <w:rsid w:val="00422920"/>
    <w:rsid w:val="00423318"/>
    <w:rsid w:val="004243BA"/>
    <w:rsid w:val="00424B82"/>
    <w:rsid w:val="00425F1D"/>
    <w:rsid w:val="00427F21"/>
    <w:rsid w:val="004311B5"/>
    <w:rsid w:val="00431350"/>
    <w:rsid w:val="004315EC"/>
    <w:rsid w:val="0043196C"/>
    <w:rsid w:val="00433732"/>
    <w:rsid w:val="0043391E"/>
    <w:rsid w:val="00434848"/>
    <w:rsid w:val="00434918"/>
    <w:rsid w:val="0043550E"/>
    <w:rsid w:val="004365DF"/>
    <w:rsid w:val="004402B4"/>
    <w:rsid w:val="0044033B"/>
    <w:rsid w:val="00440483"/>
    <w:rsid w:val="00440D27"/>
    <w:rsid w:val="00441AF6"/>
    <w:rsid w:val="0044219C"/>
    <w:rsid w:val="004430A3"/>
    <w:rsid w:val="004438E1"/>
    <w:rsid w:val="0044411A"/>
    <w:rsid w:val="00444974"/>
    <w:rsid w:val="00445AD7"/>
    <w:rsid w:val="00445E5D"/>
    <w:rsid w:val="00446221"/>
    <w:rsid w:val="00446A1A"/>
    <w:rsid w:val="00446D9F"/>
    <w:rsid w:val="00451211"/>
    <w:rsid w:val="004518A5"/>
    <w:rsid w:val="00452D03"/>
    <w:rsid w:val="00453244"/>
    <w:rsid w:val="00454411"/>
    <w:rsid w:val="00454B80"/>
    <w:rsid w:val="004553E9"/>
    <w:rsid w:val="00463791"/>
    <w:rsid w:val="00463F5A"/>
    <w:rsid w:val="00464118"/>
    <w:rsid w:val="004644AB"/>
    <w:rsid w:val="004662B4"/>
    <w:rsid w:val="00466CAD"/>
    <w:rsid w:val="00467A8E"/>
    <w:rsid w:val="00467DC9"/>
    <w:rsid w:val="004713D8"/>
    <w:rsid w:val="00473755"/>
    <w:rsid w:val="0047454C"/>
    <w:rsid w:val="004750DA"/>
    <w:rsid w:val="00475319"/>
    <w:rsid w:val="004754F2"/>
    <w:rsid w:val="00475D87"/>
    <w:rsid w:val="00477CEE"/>
    <w:rsid w:val="004800E1"/>
    <w:rsid w:val="00482495"/>
    <w:rsid w:val="004834BB"/>
    <w:rsid w:val="00484158"/>
    <w:rsid w:val="00485277"/>
    <w:rsid w:val="00485FE8"/>
    <w:rsid w:val="004868ED"/>
    <w:rsid w:val="00487466"/>
    <w:rsid w:val="00487673"/>
    <w:rsid w:val="00487D7A"/>
    <w:rsid w:val="00491EEE"/>
    <w:rsid w:val="00492588"/>
    <w:rsid w:val="0049552B"/>
    <w:rsid w:val="00496C02"/>
    <w:rsid w:val="00496F7B"/>
    <w:rsid w:val="004A17F1"/>
    <w:rsid w:val="004A2553"/>
    <w:rsid w:val="004A42B0"/>
    <w:rsid w:val="004A5EC6"/>
    <w:rsid w:val="004A7687"/>
    <w:rsid w:val="004B1319"/>
    <w:rsid w:val="004B257D"/>
    <w:rsid w:val="004B3955"/>
    <w:rsid w:val="004B3E99"/>
    <w:rsid w:val="004B3FAC"/>
    <w:rsid w:val="004B3FE7"/>
    <w:rsid w:val="004B4EEF"/>
    <w:rsid w:val="004B5981"/>
    <w:rsid w:val="004B6A36"/>
    <w:rsid w:val="004C0C2A"/>
    <w:rsid w:val="004C128F"/>
    <w:rsid w:val="004C187E"/>
    <w:rsid w:val="004C233D"/>
    <w:rsid w:val="004C55EE"/>
    <w:rsid w:val="004C62B9"/>
    <w:rsid w:val="004C6AF1"/>
    <w:rsid w:val="004C6DD9"/>
    <w:rsid w:val="004C7C40"/>
    <w:rsid w:val="004D0F1C"/>
    <w:rsid w:val="004D17F4"/>
    <w:rsid w:val="004D1CC7"/>
    <w:rsid w:val="004D1E83"/>
    <w:rsid w:val="004D3D93"/>
    <w:rsid w:val="004D4728"/>
    <w:rsid w:val="004D4873"/>
    <w:rsid w:val="004D5CDC"/>
    <w:rsid w:val="004D71A1"/>
    <w:rsid w:val="004E07B5"/>
    <w:rsid w:val="004E08E0"/>
    <w:rsid w:val="004E0C4A"/>
    <w:rsid w:val="004E2A7B"/>
    <w:rsid w:val="004E38D5"/>
    <w:rsid w:val="004E615E"/>
    <w:rsid w:val="004E693C"/>
    <w:rsid w:val="004E7AF4"/>
    <w:rsid w:val="004F0533"/>
    <w:rsid w:val="004F3892"/>
    <w:rsid w:val="004F3ED4"/>
    <w:rsid w:val="004F4781"/>
    <w:rsid w:val="004F75C7"/>
    <w:rsid w:val="00500AEB"/>
    <w:rsid w:val="00502D02"/>
    <w:rsid w:val="005037E6"/>
    <w:rsid w:val="00504CCA"/>
    <w:rsid w:val="00504D3D"/>
    <w:rsid w:val="005050B3"/>
    <w:rsid w:val="00505D5A"/>
    <w:rsid w:val="00506716"/>
    <w:rsid w:val="005103E2"/>
    <w:rsid w:val="00513317"/>
    <w:rsid w:val="0051542C"/>
    <w:rsid w:val="00515509"/>
    <w:rsid w:val="00516771"/>
    <w:rsid w:val="00517790"/>
    <w:rsid w:val="0052118A"/>
    <w:rsid w:val="00521343"/>
    <w:rsid w:val="0052224E"/>
    <w:rsid w:val="005223F2"/>
    <w:rsid w:val="00522F5B"/>
    <w:rsid w:val="00524468"/>
    <w:rsid w:val="005253D9"/>
    <w:rsid w:val="00527582"/>
    <w:rsid w:val="00527B4E"/>
    <w:rsid w:val="00530FC4"/>
    <w:rsid w:val="00532CBD"/>
    <w:rsid w:val="00533C90"/>
    <w:rsid w:val="005344E6"/>
    <w:rsid w:val="005352D8"/>
    <w:rsid w:val="005367AF"/>
    <w:rsid w:val="00541467"/>
    <w:rsid w:val="00541965"/>
    <w:rsid w:val="00541F22"/>
    <w:rsid w:val="00542208"/>
    <w:rsid w:val="005431E5"/>
    <w:rsid w:val="00544CE6"/>
    <w:rsid w:val="00544F48"/>
    <w:rsid w:val="0055096C"/>
    <w:rsid w:val="0055097C"/>
    <w:rsid w:val="005524EB"/>
    <w:rsid w:val="00552F9C"/>
    <w:rsid w:val="0055334D"/>
    <w:rsid w:val="005535E7"/>
    <w:rsid w:val="005544B3"/>
    <w:rsid w:val="0056298E"/>
    <w:rsid w:val="00563871"/>
    <w:rsid w:val="00564E30"/>
    <w:rsid w:val="00565230"/>
    <w:rsid w:val="0056703D"/>
    <w:rsid w:val="005670A6"/>
    <w:rsid w:val="00570E7A"/>
    <w:rsid w:val="00570F65"/>
    <w:rsid w:val="005713BA"/>
    <w:rsid w:val="00571AF1"/>
    <w:rsid w:val="00572A1D"/>
    <w:rsid w:val="00575BD2"/>
    <w:rsid w:val="00577E3A"/>
    <w:rsid w:val="00580510"/>
    <w:rsid w:val="00581D73"/>
    <w:rsid w:val="00582247"/>
    <w:rsid w:val="00582F82"/>
    <w:rsid w:val="005840B2"/>
    <w:rsid w:val="0058428C"/>
    <w:rsid w:val="005846AE"/>
    <w:rsid w:val="00584FE2"/>
    <w:rsid w:val="00585039"/>
    <w:rsid w:val="00585288"/>
    <w:rsid w:val="005872C3"/>
    <w:rsid w:val="00587876"/>
    <w:rsid w:val="0058798C"/>
    <w:rsid w:val="005959C8"/>
    <w:rsid w:val="005A02A2"/>
    <w:rsid w:val="005A0DA7"/>
    <w:rsid w:val="005A2164"/>
    <w:rsid w:val="005A3AA4"/>
    <w:rsid w:val="005A51FC"/>
    <w:rsid w:val="005A5DFD"/>
    <w:rsid w:val="005A759D"/>
    <w:rsid w:val="005B002D"/>
    <w:rsid w:val="005B05D2"/>
    <w:rsid w:val="005B127A"/>
    <w:rsid w:val="005B24FD"/>
    <w:rsid w:val="005B4521"/>
    <w:rsid w:val="005B6035"/>
    <w:rsid w:val="005B630A"/>
    <w:rsid w:val="005B7507"/>
    <w:rsid w:val="005B7795"/>
    <w:rsid w:val="005B7E88"/>
    <w:rsid w:val="005C048F"/>
    <w:rsid w:val="005C0CDF"/>
    <w:rsid w:val="005C39C2"/>
    <w:rsid w:val="005C3BF4"/>
    <w:rsid w:val="005C4817"/>
    <w:rsid w:val="005C51E9"/>
    <w:rsid w:val="005C5F55"/>
    <w:rsid w:val="005C65E9"/>
    <w:rsid w:val="005C6910"/>
    <w:rsid w:val="005C69C4"/>
    <w:rsid w:val="005C6DEF"/>
    <w:rsid w:val="005C7E69"/>
    <w:rsid w:val="005D2B28"/>
    <w:rsid w:val="005D2C41"/>
    <w:rsid w:val="005D3C6A"/>
    <w:rsid w:val="005D56DA"/>
    <w:rsid w:val="005D75B5"/>
    <w:rsid w:val="005D7D8D"/>
    <w:rsid w:val="005E0776"/>
    <w:rsid w:val="005E2A02"/>
    <w:rsid w:val="005E35D0"/>
    <w:rsid w:val="005E40A9"/>
    <w:rsid w:val="005E5D1B"/>
    <w:rsid w:val="005E6685"/>
    <w:rsid w:val="005E66F7"/>
    <w:rsid w:val="005E711F"/>
    <w:rsid w:val="005E7F90"/>
    <w:rsid w:val="005F0732"/>
    <w:rsid w:val="005F4345"/>
    <w:rsid w:val="005F4C37"/>
    <w:rsid w:val="005F506C"/>
    <w:rsid w:val="005F54B4"/>
    <w:rsid w:val="005F5582"/>
    <w:rsid w:val="005F5C6F"/>
    <w:rsid w:val="005F6D5A"/>
    <w:rsid w:val="005F6FF4"/>
    <w:rsid w:val="005F7C11"/>
    <w:rsid w:val="00601930"/>
    <w:rsid w:val="00603923"/>
    <w:rsid w:val="00605B75"/>
    <w:rsid w:val="006062C1"/>
    <w:rsid w:val="006066FE"/>
    <w:rsid w:val="00606AAC"/>
    <w:rsid w:val="006079EF"/>
    <w:rsid w:val="0061136B"/>
    <w:rsid w:val="00611453"/>
    <w:rsid w:val="006134C4"/>
    <w:rsid w:val="006137B7"/>
    <w:rsid w:val="00615AA3"/>
    <w:rsid w:val="00616821"/>
    <w:rsid w:val="00617455"/>
    <w:rsid w:val="00617592"/>
    <w:rsid w:val="00617EA7"/>
    <w:rsid w:val="00620098"/>
    <w:rsid w:val="00624896"/>
    <w:rsid w:val="00625BF2"/>
    <w:rsid w:val="006328B9"/>
    <w:rsid w:val="00633202"/>
    <w:rsid w:val="00633DC4"/>
    <w:rsid w:val="0063452D"/>
    <w:rsid w:val="00636B29"/>
    <w:rsid w:val="00640E0D"/>
    <w:rsid w:val="006415DB"/>
    <w:rsid w:val="00643552"/>
    <w:rsid w:val="006439A9"/>
    <w:rsid w:val="00645A45"/>
    <w:rsid w:val="00646EA3"/>
    <w:rsid w:val="00647646"/>
    <w:rsid w:val="00647C6A"/>
    <w:rsid w:val="00650100"/>
    <w:rsid w:val="00653072"/>
    <w:rsid w:val="006538FB"/>
    <w:rsid w:val="006553F2"/>
    <w:rsid w:val="00655E70"/>
    <w:rsid w:val="006560E5"/>
    <w:rsid w:val="00661A72"/>
    <w:rsid w:val="00662E6A"/>
    <w:rsid w:val="006637D2"/>
    <w:rsid w:val="00664700"/>
    <w:rsid w:val="0066475A"/>
    <w:rsid w:val="00666579"/>
    <w:rsid w:val="00666994"/>
    <w:rsid w:val="0066720E"/>
    <w:rsid w:val="00670323"/>
    <w:rsid w:val="00670754"/>
    <w:rsid w:val="00671054"/>
    <w:rsid w:val="0067446F"/>
    <w:rsid w:val="00674F66"/>
    <w:rsid w:val="00675D2C"/>
    <w:rsid w:val="0067761E"/>
    <w:rsid w:val="00680449"/>
    <w:rsid w:val="00680974"/>
    <w:rsid w:val="006830DB"/>
    <w:rsid w:val="0068455C"/>
    <w:rsid w:val="00684A15"/>
    <w:rsid w:val="00684B41"/>
    <w:rsid w:val="0068550C"/>
    <w:rsid w:val="0068577C"/>
    <w:rsid w:val="0068613F"/>
    <w:rsid w:val="00686ACE"/>
    <w:rsid w:val="00686C51"/>
    <w:rsid w:val="0068778C"/>
    <w:rsid w:val="0069029D"/>
    <w:rsid w:val="00690BD7"/>
    <w:rsid w:val="00690E15"/>
    <w:rsid w:val="00690FB7"/>
    <w:rsid w:val="00694610"/>
    <w:rsid w:val="006A058E"/>
    <w:rsid w:val="006A08B9"/>
    <w:rsid w:val="006A1121"/>
    <w:rsid w:val="006A13E5"/>
    <w:rsid w:val="006A402F"/>
    <w:rsid w:val="006A4DE2"/>
    <w:rsid w:val="006A57C0"/>
    <w:rsid w:val="006A74C1"/>
    <w:rsid w:val="006A7875"/>
    <w:rsid w:val="006A7A16"/>
    <w:rsid w:val="006A7F19"/>
    <w:rsid w:val="006B121D"/>
    <w:rsid w:val="006B1A9B"/>
    <w:rsid w:val="006B2D08"/>
    <w:rsid w:val="006B425D"/>
    <w:rsid w:val="006B6F2C"/>
    <w:rsid w:val="006C020A"/>
    <w:rsid w:val="006C1B0A"/>
    <w:rsid w:val="006C1F03"/>
    <w:rsid w:val="006C269B"/>
    <w:rsid w:val="006C424B"/>
    <w:rsid w:val="006C4A5F"/>
    <w:rsid w:val="006C630A"/>
    <w:rsid w:val="006C6706"/>
    <w:rsid w:val="006D0D34"/>
    <w:rsid w:val="006D0E44"/>
    <w:rsid w:val="006D3A9E"/>
    <w:rsid w:val="006D3B7D"/>
    <w:rsid w:val="006D3BC4"/>
    <w:rsid w:val="006D50FF"/>
    <w:rsid w:val="006D52B9"/>
    <w:rsid w:val="006D7987"/>
    <w:rsid w:val="006E04A6"/>
    <w:rsid w:val="006E06D2"/>
    <w:rsid w:val="006E0E18"/>
    <w:rsid w:val="006E1B1C"/>
    <w:rsid w:val="006E1DA4"/>
    <w:rsid w:val="006E2C1D"/>
    <w:rsid w:val="006E38AA"/>
    <w:rsid w:val="006E3F50"/>
    <w:rsid w:val="006E5CA6"/>
    <w:rsid w:val="006E6F79"/>
    <w:rsid w:val="006F18CC"/>
    <w:rsid w:val="006F231C"/>
    <w:rsid w:val="006F30B1"/>
    <w:rsid w:val="006F30DD"/>
    <w:rsid w:val="006F5947"/>
    <w:rsid w:val="006F7979"/>
    <w:rsid w:val="006F7AF4"/>
    <w:rsid w:val="00701224"/>
    <w:rsid w:val="00701805"/>
    <w:rsid w:val="00701ED2"/>
    <w:rsid w:val="00702BC4"/>
    <w:rsid w:val="0071166C"/>
    <w:rsid w:val="00711F46"/>
    <w:rsid w:val="0071236E"/>
    <w:rsid w:val="0071335C"/>
    <w:rsid w:val="0071342B"/>
    <w:rsid w:val="007158F0"/>
    <w:rsid w:val="007178FA"/>
    <w:rsid w:val="00721770"/>
    <w:rsid w:val="00722D0C"/>
    <w:rsid w:val="00724C99"/>
    <w:rsid w:val="00725649"/>
    <w:rsid w:val="00725DF3"/>
    <w:rsid w:val="0072603D"/>
    <w:rsid w:val="00726433"/>
    <w:rsid w:val="007264F3"/>
    <w:rsid w:val="0072696F"/>
    <w:rsid w:val="00727D58"/>
    <w:rsid w:val="00730FB3"/>
    <w:rsid w:val="007317A8"/>
    <w:rsid w:val="00731BF9"/>
    <w:rsid w:val="00732BB8"/>
    <w:rsid w:val="007336B2"/>
    <w:rsid w:val="007349B4"/>
    <w:rsid w:val="00734F56"/>
    <w:rsid w:val="00735806"/>
    <w:rsid w:val="007362F6"/>
    <w:rsid w:val="00736BE5"/>
    <w:rsid w:val="00736FE2"/>
    <w:rsid w:val="0074014C"/>
    <w:rsid w:val="00741A04"/>
    <w:rsid w:val="00744176"/>
    <w:rsid w:val="00751D47"/>
    <w:rsid w:val="007525E9"/>
    <w:rsid w:val="00752935"/>
    <w:rsid w:val="00754595"/>
    <w:rsid w:val="007563BB"/>
    <w:rsid w:val="00756599"/>
    <w:rsid w:val="00756C5F"/>
    <w:rsid w:val="007570E7"/>
    <w:rsid w:val="007601EE"/>
    <w:rsid w:val="00760C1C"/>
    <w:rsid w:val="00761DBD"/>
    <w:rsid w:val="00762AA8"/>
    <w:rsid w:val="00763322"/>
    <w:rsid w:val="00763498"/>
    <w:rsid w:val="007659DB"/>
    <w:rsid w:val="007667B4"/>
    <w:rsid w:val="00767352"/>
    <w:rsid w:val="0076776C"/>
    <w:rsid w:val="00770A2D"/>
    <w:rsid w:val="00770BB9"/>
    <w:rsid w:val="007723A3"/>
    <w:rsid w:val="00772BE3"/>
    <w:rsid w:val="00772FF9"/>
    <w:rsid w:val="0077354A"/>
    <w:rsid w:val="00775596"/>
    <w:rsid w:val="00775EB4"/>
    <w:rsid w:val="007834AC"/>
    <w:rsid w:val="007838ED"/>
    <w:rsid w:val="00783AFF"/>
    <w:rsid w:val="00784615"/>
    <w:rsid w:val="00784B9F"/>
    <w:rsid w:val="00785DA7"/>
    <w:rsid w:val="00791F6F"/>
    <w:rsid w:val="00792AD9"/>
    <w:rsid w:val="00796B96"/>
    <w:rsid w:val="007A09CC"/>
    <w:rsid w:val="007A1794"/>
    <w:rsid w:val="007A3661"/>
    <w:rsid w:val="007A433E"/>
    <w:rsid w:val="007A6551"/>
    <w:rsid w:val="007A7AEF"/>
    <w:rsid w:val="007B0420"/>
    <w:rsid w:val="007B05BB"/>
    <w:rsid w:val="007B27A8"/>
    <w:rsid w:val="007B417A"/>
    <w:rsid w:val="007B4461"/>
    <w:rsid w:val="007B4F39"/>
    <w:rsid w:val="007B5C4A"/>
    <w:rsid w:val="007B5ECF"/>
    <w:rsid w:val="007B6B82"/>
    <w:rsid w:val="007B6C25"/>
    <w:rsid w:val="007B7FCD"/>
    <w:rsid w:val="007C0583"/>
    <w:rsid w:val="007C08B6"/>
    <w:rsid w:val="007C2A90"/>
    <w:rsid w:val="007C3D4B"/>
    <w:rsid w:val="007C3E0E"/>
    <w:rsid w:val="007C67D4"/>
    <w:rsid w:val="007D14FC"/>
    <w:rsid w:val="007D2507"/>
    <w:rsid w:val="007D3B20"/>
    <w:rsid w:val="007D4108"/>
    <w:rsid w:val="007D5EC2"/>
    <w:rsid w:val="007D63EE"/>
    <w:rsid w:val="007D6462"/>
    <w:rsid w:val="007D6703"/>
    <w:rsid w:val="007E07A9"/>
    <w:rsid w:val="007E105E"/>
    <w:rsid w:val="007E1334"/>
    <w:rsid w:val="007E3828"/>
    <w:rsid w:val="007E477D"/>
    <w:rsid w:val="007E5EE8"/>
    <w:rsid w:val="007E6657"/>
    <w:rsid w:val="007E717C"/>
    <w:rsid w:val="007E7857"/>
    <w:rsid w:val="007E7F9F"/>
    <w:rsid w:val="007F0FA6"/>
    <w:rsid w:val="007F1D68"/>
    <w:rsid w:val="007F213F"/>
    <w:rsid w:val="007F2637"/>
    <w:rsid w:val="007F2679"/>
    <w:rsid w:val="007F3226"/>
    <w:rsid w:val="007F3AD5"/>
    <w:rsid w:val="007F4AF1"/>
    <w:rsid w:val="007F4B63"/>
    <w:rsid w:val="007F5A2E"/>
    <w:rsid w:val="008005CC"/>
    <w:rsid w:val="0080085E"/>
    <w:rsid w:val="008017D2"/>
    <w:rsid w:val="00805C33"/>
    <w:rsid w:val="008071AB"/>
    <w:rsid w:val="0081004B"/>
    <w:rsid w:val="00811685"/>
    <w:rsid w:val="00811A25"/>
    <w:rsid w:val="0081366A"/>
    <w:rsid w:val="00816033"/>
    <w:rsid w:val="00816A3A"/>
    <w:rsid w:val="00816A93"/>
    <w:rsid w:val="008179EC"/>
    <w:rsid w:val="00820459"/>
    <w:rsid w:val="00823F6D"/>
    <w:rsid w:val="00824991"/>
    <w:rsid w:val="00825026"/>
    <w:rsid w:val="00826F26"/>
    <w:rsid w:val="00827EEB"/>
    <w:rsid w:val="00827FF2"/>
    <w:rsid w:val="008301F0"/>
    <w:rsid w:val="008303C8"/>
    <w:rsid w:val="00834AFA"/>
    <w:rsid w:val="00834CF0"/>
    <w:rsid w:val="00835AB2"/>
    <w:rsid w:val="00840846"/>
    <w:rsid w:val="00840886"/>
    <w:rsid w:val="008432A5"/>
    <w:rsid w:val="008445F0"/>
    <w:rsid w:val="0084526B"/>
    <w:rsid w:val="00845A06"/>
    <w:rsid w:val="00845D52"/>
    <w:rsid w:val="00845E95"/>
    <w:rsid w:val="00846A9F"/>
    <w:rsid w:val="008475AA"/>
    <w:rsid w:val="008475F3"/>
    <w:rsid w:val="00847C94"/>
    <w:rsid w:val="00851E51"/>
    <w:rsid w:val="00854DFF"/>
    <w:rsid w:val="008555C6"/>
    <w:rsid w:val="008569A3"/>
    <w:rsid w:val="00856B18"/>
    <w:rsid w:val="00860406"/>
    <w:rsid w:val="00860817"/>
    <w:rsid w:val="00861137"/>
    <w:rsid w:val="00861536"/>
    <w:rsid w:val="00862CAD"/>
    <w:rsid w:val="00863C30"/>
    <w:rsid w:val="00864623"/>
    <w:rsid w:val="00864657"/>
    <w:rsid w:val="008650BB"/>
    <w:rsid w:val="00865D45"/>
    <w:rsid w:val="00866006"/>
    <w:rsid w:val="00866B01"/>
    <w:rsid w:val="00866FF6"/>
    <w:rsid w:val="00867990"/>
    <w:rsid w:val="0087080E"/>
    <w:rsid w:val="00870BEB"/>
    <w:rsid w:val="00870F9D"/>
    <w:rsid w:val="0087215D"/>
    <w:rsid w:val="008738DD"/>
    <w:rsid w:val="00873D8C"/>
    <w:rsid w:val="00875C75"/>
    <w:rsid w:val="008768AB"/>
    <w:rsid w:val="008773D2"/>
    <w:rsid w:val="00881F9A"/>
    <w:rsid w:val="008835A4"/>
    <w:rsid w:val="0088378D"/>
    <w:rsid w:val="00886772"/>
    <w:rsid w:val="00886BA2"/>
    <w:rsid w:val="00890641"/>
    <w:rsid w:val="00891719"/>
    <w:rsid w:val="008920DE"/>
    <w:rsid w:val="008944F7"/>
    <w:rsid w:val="008949D9"/>
    <w:rsid w:val="008956DF"/>
    <w:rsid w:val="00897FC0"/>
    <w:rsid w:val="008A1A69"/>
    <w:rsid w:val="008A230A"/>
    <w:rsid w:val="008A322E"/>
    <w:rsid w:val="008A323D"/>
    <w:rsid w:val="008A5357"/>
    <w:rsid w:val="008A6A8E"/>
    <w:rsid w:val="008B03E0"/>
    <w:rsid w:val="008B0D30"/>
    <w:rsid w:val="008B0FE2"/>
    <w:rsid w:val="008B2007"/>
    <w:rsid w:val="008B26FB"/>
    <w:rsid w:val="008B5058"/>
    <w:rsid w:val="008B6451"/>
    <w:rsid w:val="008B7035"/>
    <w:rsid w:val="008C0C2B"/>
    <w:rsid w:val="008C0D89"/>
    <w:rsid w:val="008C29C9"/>
    <w:rsid w:val="008C3CEE"/>
    <w:rsid w:val="008C6931"/>
    <w:rsid w:val="008C742C"/>
    <w:rsid w:val="008C7589"/>
    <w:rsid w:val="008D128E"/>
    <w:rsid w:val="008D1DC5"/>
    <w:rsid w:val="008D2C23"/>
    <w:rsid w:val="008D34F2"/>
    <w:rsid w:val="008D52A6"/>
    <w:rsid w:val="008D6069"/>
    <w:rsid w:val="008D60ED"/>
    <w:rsid w:val="008E0221"/>
    <w:rsid w:val="008E0230"/>
    <w:rsid w:val="008E1031"/>
    <w:rsid w:val="008E2C56"/>
    <w:rsid w:val="008E3EB8"/>
    <w:rsid w:val="008E4B59"/>
    <w:rsid w:val="008E4ECF"/>
    <w:rsid w:val="008E5EB7"/>
    <w:rsid w:val="008E6071"/>
    <w:rsid w:val="008E698F"/>
    <w:rsid w:val="008E69A4"/>
    <w:rsid w:val="008E72E1"/>
    <w:rsid w:val="008F0E92"/>
    <w:rsid w:val="008F388F"/>
    <w:rsid w:val="008F45D6"/>
    <w:rsid w:val="008F464B"/>
    <w:rsid w:val="008F5F39"/>
    <w:rsid w:val="008F65C8"/>
    <w:rsid w:val="008F7C9D"/>
    <w:rsid w:val="0090127E"/>
    <w:rsid w:val="009029B2"/>
    <w:rsid w:val="00903868"/>
    <w:rsid w:val="00904111"/>
    <w:rsid w:val="009069F9"/>
    <w:rsid w:val="009071E2"/>
    <w:rsid w:val="009133EC"/>
    <w:rsid w:val="00913847"/>
    <w:rsid w:val="00913D28"/>
    <w:rsid w:val="009146F1"/>
    <w:rsid w:val="00914A2C"/>
    <w:rsid w:val="009154B8"/>
    <w:rsid w:val="00915877"/>
    <w:rsid w:val="0091613F"/>
    <w:rsid w:val="00916AF1"/>
    <w:rsid w:val="00917928"/>
    <w:rsid w:val="0092060A"/>
    <w:rsid w:val="00920786"/>
    <w:rsid w:val="00920A15"/>
    <w:rsid w:val="00924D47"/>
    <w:rsid w:val="00925944"/>
    <w:rsid w:val="009325F4"/>
    <w:rsid w:val="009343EE"/>
    <w:rsid w:val="00935BEA"/>
    <w:rsid w:val="0093655F"/>
    <w:rsid w:val="0093656B"/>
    <w:rsid w:val="00936598"/>
    <w:rsid w:val="009413A3"/>
    <w:rsid w:val="00942D73"/>
    <w:rsid w:val="00944E93"/>
    <w:rsid w:val="009450E5"/>
    <w:rsid w:val="00945DEA"/>
    <w:rsid w:val="009467AE"/>
    <w:rsid w:val="00946960"/>
    <w:rsid w:val="00947C96"/>
    <w:rsid w:val="00953120"/>
    <w:rsid w:val="00953768"/>
    <w:rsid w:val="00954DF5"/>
    <w:rsid w:val="00955856"/>
    <w:rsid w:val="00956A91"/>
    <w:rsid w:val="009651CB"/>
    <w:rsid w:val="0096568A"/>
    <w:rsid w:val="00966A5C"/>
    <w:rsid w:val="00967C4C"/>
    <w:rsid w:val="00971137"/>
    <w:rsid w:val="009734B6"/>
    <w:rsid w:val="00973AB8"/>
    <w:rsid w:val="009771F0"/>
    <w:rsid w:val="00977731"/>
    <w:rsid w:val="00981954"/>
    <w:rsid w:val="00982572"/>
    <w:rsid w:val="00984B13"/>
    <w:rsid w:val="0098676D"/>
    <w:rsid w:val="00987CBA"/>
    <w:rsid w:val="00991063"/>
    <w:rsid w:val="00991E77"/>
    <w:rsid w:val="009923B1"/>
    <w:rsid w:val="0099280E"/>
    <w:rsid w:val="009928F7"/>
    <w:rsid w:val="0099318D"/>
    <w:rsid w:val="009932BB"/>
    <w:rsid w:val="009936CE"/>
    <w:rsid w:val="00994413"/>
    <w:rsid w:val="00995489"/>
    <w:rsid w:val="0099694D"/>
    <w:rsid w:val="009A02D0"/>
    <w:rsid w:val="009A0F44"/>
    <w:rsid w:val="009A1D4E"/>
    <w:rsid w:val="009A5233"/>
    <w:rsid w:val="009A57FA"/>
    <w:rsid w:val="009A6620"/>
    <w:rsid w:val="009A68DB"/>
    <w:rsid w:val="009B227B"/>
    <w:rsid w:val="009B2675"/>
    <w:rsid w:val="009B2FC6"/>
    <w:rsid w:val="009B3DEF"/>
    <w:rsid w:val="009B547D"/>
    <w:rsid w:val="009B7858"/>
    <w:rsid w:val="009C0B95"/>
    <w:rsid w:val="009C0BCA"/>
    <w:rsid w:val="009C1497"/>
    <w:rsid w:val="009C250F"/>
    <w:rsid w:val="009C2B16"/>
    <w:rsid w:val="009C2ECC"/>
    <w:rsid w:val="009C31C2"/>
    <w:rsid w:val="009C4C1F"/>
    <w:rsid w:val="009C6445"/>
    <w:rsid w:val="009C7988"/>
    <w:rsid w:val="009D09D9"/>
    <w:rsid w:val="009D1EED"/>
    <w:rsid w:val="009D20EA"/>
    <w:rsid w:val="009D2EE0"/>
    <w:rsid w:val="009D457E"/>
    <w:rsid w:val="009D7352"/>
    <w:rsid w:val="009D7A11"/>
    <w:rsid w:val="009E1373"/>
    <w:rsid w:val="009E2DDA"/>
    <w:rsid w:val="009E65F4"/>
    <w:rsid w:val="009E7768"/>
    <w:rsid w:val="009E7780"/>
    <w:rsid w:val="009F196B"/>
    <w:rsid w:val="009F2F7F"/>
    <w:rsid w:val="009F2FBC"/>
    <w:rsid w:val="009F3510"/>
    <w:rsid w:val="009F40EA"/>
    <w:rsid w:val="009F41CA"/>
    <w:rsid w:val="009F4840"/>
    <w:rsid w:val="009F4C36"/>
    <w:rsid w:val="009F4EA5"/>
    <w:rsid w:val="009F5198"/>
    <w:rsid w:val="009F543F"/>
    <w:rsid w:val="009F61F1"/>
    <w:rsid w:val="009F716E"/>
    <w:rsid w:val="009F71A6"/>
    <w:rsid w:val="00A0018D"/>
    <w:rsid w:val="00A0293E"/>
    <w:rsid w:val="00A03D5B"/>
    <w:rsid w:val="00A056E4"/>
    <w:rsid w:val="00A05F6B"/>
    <w:rsid w:val="00A06E47"/>
    <w:rsid w:val="00A07483"/>
    <w:rsid w:val="00A114D8"/>
    <w:rsid w:val="00A11545"/>
    <w:rsid w:val="00A149AB"/>
    <w:rsid w:val="00A154C4"/>
    <w:rsid w:val="00A15D98"/>
    <w:rsid w:val="00A17CF0"/>
    <w:rsid w:val="00A20947"/>
    <w:rsid w:val="00A20B2E"/>
    <w:rsid w:val="00A20DCF"/>
    <w:rsid w:val="00A226FC"/>
    <w:rsid w:val="00A237FA"/>
    <w:rsid w:val="00A239FD"/>
    <w:rsid w:val="00A23DAB"/>
    <w:rsid w:val="00A23FE0"/>
    <w:rsid w:val="00A26AEF"/>
    <w:rsid w:val="00A27FCC"/>
    <w:rsid w:val="00A304F0"/>
    <w:rsid w:val="00A32C0E"/>
    <w:rsid w:val="00A33785"/>
    <w:rsid w:val="00A344F5"/>
    <w:rsid w:val="00A351CC"/>
    <w:rsid w:val="00A35296"/>
    <w:rsid w:val="00A371E6"/>
    <w:rsid w:val="00A37406"/>
    <w:rsid w:val="00A377B1"/>
    <w:rsid w:val="00A37D1A"/>
    <w:rsid w:val="00A405FE"/>
    <w:rsid w:val="00A409F6"/>
    <w:rsid w:val="00A4259D"/>
    <w:rsid w:val="00A426A2"/>
    <w:rsid w:val="00A461CA"/>
    <w:rsid w:val="00A46AB9"/>
    <w:rsid w:val="00A46E14"/>
    <w:rsid w:val="00A53EAE"/>
    <w:rsid w:val="00A54460"/>
    <w:rsid w:val="00A55104"/>
    <w:rsid w:val="00A57889"/>
    <w:rsid w:val="00A61549"/>
    <w:rsid w:val="00A637D8"/>
    <w:rsid w:val="00A63D8B"/>
    <w:rsid w:val="00A63EAC"/>
    <w:rsid w:val="00A664A8"/>
    <w:rsid w:val="00A66DE5"/>
    <w:rsid w:val="00A70830"/>
    <w:rsid w:val="00A71752"/>
    <w:rsid w:val="00A721DF"/>
    <w:rsid w:val="00A73036"/>
    <w:rsid w:val="00A73047"/>
    <w:rsid w:val="00A744CE"/>
    <w:rsid w:val="00A75205"/>
    <w:rsid w:val="00A75467"/>
    <w:rsid w:val="00A75F0A"/>
    <w:rsid w:val="00A80935"/>
    <w:rsid w:val="00A81CB8"/>
    <w:rsid w:val="00A8404B"/>
    <w:rsid w:val="00A856EE"/>
    <w:rsid w:val="00A86270"/>
    <w:rsid w:val="00A87825"/>
    <w:rsid w:val="00A908C8"/>
    <w:rsid w:val="00A93D9A"/>
    <w:rsid w:val="00A9417F"/>
    <w:rsid w:val="00A97E31"/>
    <w:rsid w:val="00AA16C0"/>
    <w:rsid w:val="00AA1C74"/>
    <w:rsid w:val="00AA1D46"/>
    <w:rsid w:val="00AA2675"/>
    <w:rsid w:val="00AA2DFE"/>
    <w:rsid w:val="00AA463D"/>
    <w:rsid w:val="00AA493D"/>
    <w:rsid w:val="00AA4F55"/>
    <w:rsid w:val="00AA5279"/>
    <w:rsid w:val="00AA5431"/>
    <w:rsid w:val="00AA7CE5"/>
    <w:rsid w:val="00AA8036"/>
    <w:rsid w:val="00AB0331"/>
    <w:rsid w:val="00AB0DF2"/>
    <w:rsid w:val="00AB22AF"/>
    <w:rsid w:val="00AB29C6"/>
    <w:rsid w:val="00AB2BA9"/>
    <w:rsid w:val="00AB35CB"/>
    <w:rsid w:val="00AB3630"/>
    <w:rsid w:val="00AB3C1C"/>
    <w:rsid w:val="00AB4CA8"/>
    <w:rsid w:val="00AB5275"/>
    <w:rsid w:val="00AB5354"/>
    <w:rsid w:val="00AB5726"/>
    <w:rsid w:val="00AB5CF6"/>
    <w:rsid w:val="00AB66A2"/>
    <w:rsid w:val="00AB7A0F"/>
    <w:rsid w:val="00AC0F16"/>
    <w:rsid w:val="00AC1B26"/>
    <w:rsid w:val="00AC373C"/>
    <w:rsid w:val="00AC42B4"/>
    <w:rsid w:val="00AC4F5D"/>
    <w:rsid w:val="00AD1DAB"/>
    <w:rsid w:val="00AD3059"/>
    <w:rsid w:val="00AD3475"/>
    <w:rsid w:val="00AD5725"/>
    <w:rsid w:val="00AD5DA9"/>
    <w:rsid w:val="00AD64A3"/>
    <w:rsid w:val="00AD68D1"/>
    <w:rsid w:val="00AD6B1E"/>
    <w:rsid w:val="00AD6F9B"/>
    <w:rsid w:val="00AD7B5E"/>
    <w:rsid w:val="00AE217B"/>
    <w:rsid w:val="00AE335A"/>
    <w:rsid w:val="00AE38B0"/>
    <w:rsid w:val="00AE50F7"/>
    <w:rsid w:val="00AE7037"/>
    <w:rsid w:val="00AE7FF7"/>
    <w:rsid w:val="00AF01B4"/>
    <w:rsid w:val="00AF23D2"/>
    <w:rsid w:val="00AF25AA"/>
    <w:rsid w:val="00AF3972"/>
    <w:rsid w:val="00AF40B0"/>
    <w:rsid w:val="00AF6B34"/>
    <w:rsid w:val="00B00193"/>
    <w:rsid w:val="00B0146A"/>
    <w:rsid w:val="00B01581"/>
    <w:rsid w:val="00B031E2"/>
    <w:rsid w:val="00B041A2"/>
    <w:rsid w:val="00B043A9"/>
    <w:rsid w:val="00B06E10"/>
    <w:rsid w:val="00B06ED2"/>
    <w:rsid w:val="00B116A5"/>
    <w:rsid w:val="00B1197D"/>
    <w:rsid w:val="00B12FD8"/>
    <w:rsid w:val="00B1579D"/>
    <w:rsid w:val="00B15CED"/>
    <w:rsid w:val="00B202D6"/>
    <w:rsid w:val="00B20D9D"/>
    <w:rsid w:val="00B22321"/>
    <w:rsid w:val="00B23629"/>
    <w:rsid w:val="00B247AB"/>
    <w:rsid w:val="00B24E14"/>
    <w:rsid w:val="00B25C01"/>
    <w:rsid w:val="00B25D3B"/>
    <w:rsid w:val="00B2602D"/>
    <w:rsid w:val="00B265B2"/>
    <w:rsid w:val="00B27C81"/>
    <w:rsid w:val="00B30E1D"/>
    <w:rsid w:val="00B31BD8"/>
    <w:rsid w:val="00B31F5B"/>
    <w:rsid w:val="00B3212C"/>
    <w:rsid w:val="00B32386"/>
    <w:rsid w:val="00B32A19"/>
    <w:rsid w:val="00B333F2"/>
    <w:rsid w:val="00B3360F"/>
    <w:rsid w:val="00B34512"/>
    <w:rsid w:val="00B3532E"/>
    <w:rsid w:val="00B3568D"/>
    <w:rsid w:val="00B42CFD"/>
    <w:rsid w:val="00B432BD"/>
    <w:rsid w:val="00B437E5"/>
    <w:rsid w:val="00B43812"/>
    <w:rsid w:val="00B43813"/>
    <w:rsid w:val="00B43FD3"/>
    <w:rsid w:val="00B4495C"/>
    <w:rsid w:val="00B44F43"/>
    <w:rsid w:val="00B5093B"/>
    <w:rsid w:val="00B518A9"/>
    <w:rsid w:val="00B51B36"/>
    <w:rsid w:val="00B52015"/>
    <w:rsid w:val="00B528BE"/>
    <w:rsid w:val="00B54A91"/>
    <w:rsid w:val="00B5635C"/>
    <w:rsid w:val="00B57DA4"/>
    <w:rsid w:val="00B60EBF"/>
    <w:rsid w:val="00B61D37"/>
    <w:rsid w:val="00B66E62"/>
    <w:rsid w:val="00B67751"/>
    <w:rsid w:val="00B709A9"/>
    <w:rsid w:val="00B70DA9"/>
    <w:rsid w:val="00B71419"/>
    <w:rsid w:val="00B71D75"/>
    <w:rsid w:val="00B722E0"/>
    <w:rsid w:val="00B72D2A"/>
    <w:rsid w:val="00B73522"/>
    <w:rsid w:val="00B73736"/>
    <w:rsid w:val="00B74255"/>
    <w:rsid w:val="00B74DD0"/>
    <w:rsid w:val="00B751A1"/>
    <w:rsid w:val="00B77EDC"/>
    <w:rsid w:val="00B82851"/>
    <w:rsid w:val="00B82E8C"/>
    <w:rsid w:val="00B83524"/>
    <w:rsid w:val="00B8368C"/>
    <w:rsid w:val="00B83D80"/>
    <w:rsid w:val="00B8497A"/>
    <w:rsid w:val="00B84E35"/>
    <w:rsid w:val="00B866F0"/>
    <w:rsid w:val="00B868F1"/>
    <w:rsid w:val="00B86B8F"/>
    <w:rsid w:val="00B879B3"/>
    <w:rsid w:val="00B9152C"/>
    <w:rsid w:val="00B92E4C"/>
    <w:rsid w:val="00B939AC"/>
    <w:rsid w:val="00B94443"/>
    <w:rsid w:val="00B944C5"/>
    <w:rsid w:val="00B94836"/>
    <w:rsid w:val="00B95582"/>
    <w:rsid w:val="00B9572B"/>
    <w:rsid w:val="00BA0310"/>
    <w:rsid w:val="00BA1763"/>
    <w:rsid w:val="00BA2522"/>
    <w:rsid w:val="00BA371B"/>
    <w:rsid w:val="00BA3AA5"/>
    <w:rsid w:val="00BA55DE"/>
    <w:rsid w:val="00BA5E64"/>
    <w:rsid w:val="00BA5ED6"/>
    <w:rsid w:val="00BA77AE"/>
    <w:rsid w:val="00BB00CF"/>
    <w:rsid w:val="00BB0409"/>
    <w:rsid w:val="00BB0504"/>
    <w:rsid w:val="00BB0624"/>
    <w:rsid w:val="00BB0640"/>
    <w:rsid w:val="00BB1042"/>
    <w:rsid w:val="00BB169C"/>
    <w:rsid w:val="00BB3120"/>
    <w:rsid w:val="00BB45FD"/>
    <w:rsid w:val="00BB553D"/>
    <w:rsid w:val="00BB64FE"/>
    <w:rsid w:val="00BC18ED"/>
    <w:rsid w:val="00BC202D"/>
    <w:rsid w:val="00BC2354"/>
    <w:rsid w:val="00BC4CD9"/>
    <w:rsid w:val="00BC5EA6"/>
    <w:rsid w:val="00BC5FD0"/>
    <w:rsid w:val="00BC6E28"/>
    <w:rsid w:val="00BC6F2F"/>
    <w:rsid w:val="00BC740D"/>
    <w:rsid w:val="00BD1742"/>
    <w:rsid w:val="00BD1BFE"/>
    <w:rsid w:val="00BD330E"/>
    <w:rsid w:val="00BD3E62"/>
    <w:rsid w:val="00BD64C8"/>
    <w:rsid w:val="00BD6BE0"/>
    <w:rsid w:val="00BD6F67"/>
    <w:rsid w:val="00BE08D7"/>
    <w:rsid w:val="00BE0919"/>
    <w:rsid w:val="00BE0996"/>
    <w:rsid w:val="00BE21C0"/>
    <w:rsid w:val="00BE28CD"/>
    <w:rsid w:val="00BE2966"/>
    <w:rsid w:val="00BE2967"/>
    <w:rsid w:val="00BE61C3"/>
    <w:rsid w:val="00BE68EC"/>
    <w:rsid w:val="00BE6B83"/>
    <w:rsid w:val="00BE76EB"/>
    <w:rsid w:val="00BE7A1D"/>
    <w:rsid w:val="00BF18D9"/>
    <w:rsid w:val="00BF1C38"/>
    <w:rsid w:val="00BF33D2"/>
    <w:rsid w:val="00BF4875"/>
    <w:rsid w:val="00BF5B73"/>
    <w:rsid w:val="00BF66D3"/>
    <w:rsid w:val="00BF67A7"/>
    <w:rsid w:val="00C01283"/>
    <w:rsid w:val="00C028CC"/>
    <w:rsid w:val="00C028E4"/>
    <w:rsid w:val="00C02E23"/>
    <w:rsid w:val="00C03DE3"/>
    <w:rsid w:val="00C0437E"/>
    <w:rsid w:val="00C043D4"/>
    <w:rsid w:val="00C05676"/>
    <w:rsid w:val="00C0695D"/>
    <w:rsid w:val="00C06B01"/>
    <w:rsid w:val="00C07057"/>
    <w:rsid w:val="00C07EAD"/>
    <w:rsid w:val="00C11D1A"/>
    <w:rsid w:val="00C123E6"/>
    <w:rsid w:val="00C136BD"/>
    <w:rsid w:val="00C13711"/>
    <w:rsid w:val="00C137A7"/>
    <w:rsid w:val="00C13FFA"/>
    <w:rsid w:val="00C14E30"/>
    <w:rsid w:val="00C15DF3"/>
    <w:rsid w:val="00C1715B"/>
    <w:rsid w:val="00C221D3"/>
    <w:rsid w:val="00C23365"/>
    <w:rsid w:val="00C24513"/>
    <w:rsid w:val="00C270B2"/>
    <w:rsid w:val="00C270E6"/>
    <w:rsid w:val="00C27C4F"/>
    <w:rsid w:val="00C31D5F"/>
    <w:rsid w:val="00C336C8"/>
    <w:rsid w:val="00C35D03"/>
    <w:rsid w:val="00C41448"/>
    <w:rsid w:val="00C41AF4"/>
    <w:rsid w:val="00C44087"/>
    <w:rsid w:val="00C444BE"/>
    <w:rsid w:val="00C452EA"/>
    <w:rsid w:val="00C4559E"/>
    <w:rsid w:val="00C52119"/>
    <w:rsid w:val="00C526E9"/>
    <w:rsid w:val="00C54335"/>
    <w:rsid w:val="00C54E18"/>
    <w:rsid w:val="00C55132"/>
    <w:rsid w:val="00C56956"/>
    <w:rsid w:val="00C56DEE"/>
    <w:rsid w:val="00C61A81"/>
    <w:rsid w:val="00C62FC0"/>
    <w:rsid w:val="00C63615"/>
    <w:rsid w:val="00C64030"/>
    <w:rsid w:val="00C64C7E"/>
    <w:rsid w:val="00C65574"/>
    <w:rsid w:val="00C668C6"/>
    <w:rsid w:val="00C702EA"/>
    <w:rsid w:val="00C707E4"/>
    <w:rsid w:val="00C71250"/>
    <w:rsid w:val="00C72FA8"/>
    <w:rsid w:val="00C74BF1"/>
    <w:rsid w:val="00C761C7"/>
    <w:rsid w:val="00C763A2"/>
    <w:rsid w:val="00C76CDA"/>
    <w:rsid w:val="00C76DF1"/>
    <w:rsid w:val="00C8009C"/>
    <w:rsid w:val="00C81071"/>
    <w:rsid w:val="00C81F4F"/>
    <w:rsid w:val="00C82D5B"/>
    <w:rsid w:val="00C84572"/>
    <w:rsid w:val="00C852DC"/>
    <w:rsid w:val="00C858BE"/>
    <w:rsid w:val="00C86860"/>
    <w:rsid w:val="00C87AA4"/>
    <w:rsid w:val="00C9148F"/>
    <w:rsid w:val="00C92ED2"/>
    <w:rsid w:val="00C940EA"/>
    <w:rsid w:val="00CA1CEF"/>
    <w:rsid w:val="00CA3038"/>
    <w:rsid w:val="00CA322B"/>
    <w:rsid w:val="00CA678B"/>
    <w:rsid w:val="00CA73DA"/>
    <w:rsid w:val="00CB609E"/>
    <w:rsid w:val="00CB67BD"/>
    <w:rsid w:val="00CB7838"/>
    <w:rsid w:val="00CB797D"/>
    <w:rsid w:val="00CB7D37"/>
    <w:rsid w:val="00CB7D4C"/>
    <w:rsid w:val="00CC039D"/>
    <w:rsid w:val="00CC094F"/>
    <w:rsid w:val="00CC11F3"/>
    <w:rsid w:val="00CC1812"/>
    <w:rsid w:val="00CC358A"/>
    <w:rsid w:val="00CC502C"/>
    <w:rsid w:val="00CD0D6B"/>
    <w:rsid w:val="00CD1DFE"/>
    <w:rsid w:val="00CD1E2B"/>
    <w:rsid w:val="00CD2676"/>
    <w:rsid w:val="00CD497E"/>
    <w:rsid w:val="00CD5495"/>
    <w:rsid w:val="00CD5528"/>
    <w:rsid w:val="00CD64CB"/>
    <w:rsid w:val="00CE10DE"/>
    <w:rsid w:val="00CE1917"/>
    <w:rsid w:val="00CE1F1C"/>
    <w:rsid w:val="00CE238D"/>
    <w:rsid w:val="00CE2763"/>
    <w:rsid w:val="00CE4D10"/>
    <w:rsid w:val="00CE5287"/>
    <w:rsid w:val="00CE62A4"/>
    <w:rsid w:val="00CE7832"/>
    <w:rsid w:val="00CF10F3"/>
    <w:rsid w:val="00CF29C8"/>
    <w:rsid w:val="00CF3335"/>
    <w:rsid w:val="00CF4463"/>
    <w:rsid w:val="00CF58A0"/>
    <w:rsid w:val="00CF6B14"/>
    <w:rsid w:val="00CF6C8D"/>
    <w:rsid w:val="00D00D86"/>
    <w:rsid w:val="00D00E45"/>
    <w:rsid w:val="00D012BE"/>
    <w:rsid w:val="00D01319"/>
    <w:rsid w:val="00D03F28"/>
    <w:rsid w:val="00D04960"/>
    <w:rsid w:val="00D04FE4"/>
    <w:rsid w:val="00D05C44"/>
    <w:rsid w:val="00D067B5"/>
    <w:rsid w:val="00D07F75"/>
    <w:rsid w:val="00D11411"/>
    <w:rsid w:val="00D11D35"/>
    <w:rsid w:val="00D12DB3"/>
    <w:rsid w:val="00D21AE0"/>
    <w:rsid w:val="00D23BD8"/>
    <w:rsid w:val="00D24B4B"/>
    <w:rsid w:val="00D264A6"/>
    <w:rsid w:val="00D26AF0"/>
    <w:rsid w:val="00D26F61"/>
    <w:rsid w:val="00D30362"/>
    <w:rsid w:val="00D31ABA"/>
    <w:rsid w:val="00D32E8F"/>
    <w:rsid w:val="00D35C0D"/>
    <w:rsid w:val="00D3695E"/>
    <w:rsid w:val="00D41D6A"/>
    <w:rsid w:val="00D4249F"/>
    <w:rsid w:val="00D428BA"/>
    <w:rsid w:val="00D42B52"/>
    <w:rsid w:val="00D43AE2"/>
    <w:rsid w:val="00D4527D"/>
    <w:rsid w:val="00D471C2"/>
    <w:rsid w:val="00D472B1"/>
    <w:rsid w:val="00D513E3"/>
    <w:rsid w:val="00D521E7"/>
    <w:rsid w:val="00D5273E"/>
    <w:rsid w:val="00D52F60"/>
    <w:rsid w:val="00D53EB3"/>
    <w:rsid w:val="00D5488A"/>
    <w:rsid w:val="00D54C25"/>
    <w:rsid w:val="00D55148"/>
    <w:rsid w:val="00D60C1C"/>
    <w:rsid w:val="00D61811"/>
    <w:rsid w:val="00D619A2"/>
    <w:rsid w:val="00D637C3"/>
    <w:rsid w:val="00D64613"/>
    <w:rsid w:val="00D64892"/>
    <w:rsid w:val="00D66A68"/>
    <w:rsid w:val="00D672A6"/>
    <w:rsid w:val="00D67779"/>
    <w:rsid w:val="00D6789B"/>
    <w:rsid w:val="00D704B0"/>
    <w:rsid w:val="00D70A4B"/>
    <w:rsid w:val="00D712D8"/>
    <w:rsid w:val="00D716F8"/>
    <w:rsid w:val="00D736FD"/>
    <w:rsid w:val="00D73741"/>
    <w:rsid w:val="00D74CF4"/>
    <w:rsid w:val="00D75380"/>
    <w:rsid w:val="00D75F12"/>
    <w:rsid w:val="00D7766A"/>
    <w:rsid w:val="00D82726"/>
    <w:rsid w:val="00D8336B"/>
    <w:rsid w:val="00D83EEB"/>
    <w:rsid w:val="00D84C16"/>
    <w:rsid w:val="00D85091"/>
    <w:rsid w:val="00D8535D"/>
    <w:rsid w:val="00D86274"/>
    <w:rsid w:val="00D90F97"/>
    <w:rsid w:val="00D9131C"/>
    <w:rsid w:val="00D9343D"/>
    <w:rsid w:val="00D9454F"/>
    <w:rsid w:val="00D951B0"/>
    <w:rsid w:val="00D95A14"/>
    <w:rsid w:val="00D96539"/>
    <w:rsid w:val="00DA0546"/>
    <w:rsid w:val="00DA12BC"/>
    <w:rsid w:val="00DA264A"/>
    <w:rsid w:val="00DA2A4A"/>
    <w:rsid w:val="00DA2F93"/>
    <w:rsid w:val="00DA4DCD"/>
    <w:rsid w:val="00DA56D8"/>
    <w:rsid w:val="00DA72E4"/>
    <w:rsid w:val="00DA77C0"/>
    <w:rsid w:val="00DB0C7C"/>
    <w:rsid w:val="00DB1134"/>
    <w:rsid w:val="00DB2491"/>
    <w:rsid w:val="00DB2853"/>
    <w:rsid w:val="00DB2DB2"/>
    <w:rsid w:val="00DB2E75"/>
    <w:rsid w:val="00DB4BAA"/>
    <w:rsid w:val="00DB5A2D"/>
    <w:rsid w:val="00DB5D39"/>
    <w:rsid w:val="00DB69F5"/>
    <w:rsid w:val="00DB70F4"/>
    <w:rsid w:val="00DB7C14"/>
    <w:rsid w:val="00DC0B61"/>
    <w:rsid w:val="00DC12C6"/>
    <w:rsid w:val="00DC178B"/>
    <w:rsid w:val="00DC39E6"/>
    <w:rsid w:val="00DC5B7E"/>
    <w:rsid w:val="00DC649C"/>
    <w:rsid w:val="00DD280F"/>
    <w:rsid w:val="00DD46E1"/>
    <w:rsid w:val="00DD4CC8"/>
    <w:rsid w:val="00DD55C1"/>
    <w:rsid w:val="00DD5B35"/>
    <w:rsid w:val="00DD64ED"/>
    <w:rsid w:val="00DD6B06"/>
    <w:rsid w:val="00DD6C60"/>
    <w:rsid w:val="00DD7B2A"/>
    <w:rsid w:val="00DE18A6"/>
    <w:rsid w:val="00DE1B7D"/>
    <w:rsid w:val="00DE3B78"/>
    <w:rsid w:val="00DE71CD"/>
    <w:rsid w:val="00DF204F"/>
    <w:rsid w:val="00DF650B"/>
    <w:rsid w:val="00E007E7"/>
    <w:rsid w:val="00E00B4F"/>
    <w:rsid w:val="00E00E02"/>
    <w:rsid w:val="00E010C1"/>
    <w:rsid w:val="00E01174"/>
    <w:rsid w:val="00E01AE3"/>
    <w:rsid w:val="00E03DD3"/>
    <w:rsid w:val="00E04DBA"/>
    <w:rsid w:val="00E05177"/>
    <w:rsid w:val="00E0562A"/>
    <w:rsid w:val="00E05C3B"/>
    <w:rsid w:val="00E0792C"/>
    <w:rsid w:val="00E1105B"/>
    <w:rsid w:val="00E12DF9"/>
    <w:rsid w:val="00E1309D"/>
    <w:rsid w:val="00E144FC"/>
    <w:rsid w:val="00E15504"/>
    <w:rsid w:val="00E15B23"/>
    <w:rsid w:val="00E15E56"/>
    <w:rsid w:val="00E166C3"/>
    <w:rsid w:val="00E16D60"/>
    <w:rsid w:val="00E171B4"/>
    <w:rsid w:val="00E17D81"/>
    <w:rsid w:val="00E17EF4"/>
    <w:rsid w:val="00E20C09"/>
    <w:rsid w:val="00E2125F"/>
    <w:rsid w:val="00E238C8"/>
    <w:rsid w:val="00E24516"/>
    <w:rsid w:val="00E249B9"/>
    <w:rsid w:val="00E24AC1"/>
    <w:rsid w:val="00E26846"/>
    <w:rsid w:val="00E27B8B"/>
    <w:rsid w:val="00E30539"/>
    <w:rsid w:val="00E3299C"/>
    <w:rsid w:val="00E34AA9"/>
    <w:rsid w:val="00E37235"/>
    <w:rsid w:val="00E405E2"/>
    <w:rsid w:val="00E406CE"/>
    <w:rsid w:val="00E41399"/>
    <w:rsid w:val="00E42BFA"/>
    <w:rsid w:val="00E43F9C"/>
    <w:rsid w:val="00E455D8"/>
    <w:rsid w:val="00E45D65"/>
    <w:rsid w:val="00E477B3"/>
    <w:rsid w:val="00E478B3"/>
    <w:rsid w:val="00E50540"/>
    <w:rsid w:val="00E508F2"/>
    <w:rsid w:val="00E50996"/>
    <w:rsid w:val="00E515EA"/>
    <w:rsid w:val="00E518A4"/>
    <w:rsid w:val="00E525CA"/>
    <w:rsid w:val="00E54904"/>
    <w:rsid w:val="00E55E77"/>
    <w:rsid w:val="00E56620"/>
    <w:rsid w:val="00E56999"/>
    <w:rsid w:val="00E60380"/>
    <w:rsid w:val="00E609B7"/>
    <w:rsid w:val="00E6130A"/>
    <w:rsid w:val="00E62342"/>
    <w:rsid w:val="00E63B85"/>
    <w:rsid w:val="00E63D70"/>
    <w:rsid w:val="00E66526"/>
    <w:rsid w:val="00E67E11"/>
    <w:rsid w:val="00E7196A"/>
    <w:rsid w:val="00E72529"/>
    <w:rsid w:val="00E72A9C"/>
    <w:rsid w:val="00E73B96"/>
    <w:rsid w:val="00E753EC"/>
    <w:rsid w:val="00E75A3B"/>
    <w:rsid w:val="00E75F57"/>
    <w:rsid w:val="00E77EBC"/>
    <w:rsid w:val="00E80A28"/>
    <w:rsid w:val="00E80B23"/>
    <w:rsid w:val="00E80DA4"/>
    <w:rsid w:val="00E81030"/>
    <w:rsid w:val="00E82033"/>
    <w:rsid w:val="00E826A4"/>
    <w:rsid w:val="00E845AD"/>
    <w:rsid w:val="00E87572"/>
    <w:rsid w:val="00E87820"/>
    <w:rsid w:val="00E879A9"/>
    <w:rsid w:val="00E90393"/>
    <w:rsid w:val="00E90FAE"/>
    <w:rsid w:val="00E9109B"/>
    <w:rsid w:val="00E913A3"/>
    <w:rsid w:val="00E91D19"/>
    <w:rsid w:val="00E929C9"/>
    <w:rsid w:val="00EA19C9"/>
    <w:rsid w:val="00EA5835"/>
    <w:rsid w:val="00EA7E38"/>
    <w:rsid w:val="00EB0A97"/>
    <w:rsid w:val="00EB0D73"/>
    <w:rsid w:val="00EB1B34"/>
    <w:rsid w:val="00EB2A02"/>
    <w:rsid w:val="00EB3F65"/>
    <w:rsid w:val="00EB4044"/>
    <w:rsid w:val="00EB47AE"/>
    <w:rsid w:val="00EB4A4F"/>
    <w:rsid w:val="00EB5572"/>
    <w:rsid w:val="00EB67BD"/>
    <w:rsid w:val="00EC15A5"/>
    <w:rsid w:val="00EC3C5F"/>
    <w:rsid w:val="00EC4068"/>
    <w:rsid w:val="00EC4C6C"/>
    <w:rsid w:val="00ED0448"/>
    <w:rsid w:val="00ED2AAC"/>
    <w:rsid w:val="00ED47BD"/>
    <w:rsid w:val="00ED48A4"/>
    <w:rsid w:val="00ED4C9A"/>
    <w:rsid w:val="00ED6BCD"/>
    <w:rsid w:val="00ED7C03"/>
    <w:rsid w:val="00EE06FF"/>
    <w:rsid w:val="00EE2066"/>
    <w:rsid w:val="00EE2BDC"/>
    <w:rsid w:val="00EE30DF"/>
    <w:rsid w:val="00EE3990"/>
    <w:rsid w:val="00EE3FC0"/>
    <w:rsid w:val="00EE4E43"/>
    <w:rsid w:val="00EF148B"/>
    <w:rsid w:val="00EF46D7"/>
    <w:rsid w:val="00EF49DD"/>
    <w:rsid w:val="00EF54D2"/>
    <w:rsid w:val="00EF71EC"/>
    <w:rsid w:val="00F0043F"/>
    <w:rsid w:val="00F006A2"/>
    <w:rsid w:val="00F015B1"/>
    <w:rsid w:val="00F05036"/>
    <w:rsid w:val="00F05E52"/>
    <w:rsid w:val="00F0711D"/>
    <w:rsid w:val="00F07A50"/>
    <w:rsid w:val="00F133FC"/>
    <w:rsid w:val="00F1482A"/>
    <w:rsid w:val="00F15078"/>
    <w:rsid w:val="00F151FF"/>
    <w:rsid w:val="00F159A1"/>
    <w:rsid w:val="00F15D65"/>
    <w:rsid w:val="00F210CE"/>
    <w:rsid w:val="00F22143"/>
    <w:rsid w:val="00F223EB"/>
    <w:rsid w:val="00F2295C"/>
    <w:rsid w:val="00F23B8A"/>
    <w:rsid w:val="00F243D6"/>
    <w:rsid w:val="00F25B00"/>
    <w:rsid w:val="00F25CEB"/>
    <w:rsid w:val="00F32361"/>
    <w:rsid w:val="00F32C11"/>
    <w:rsid w:val="00F33203"/>
    <w:rsid w:val="00F33F9C"/>
    <w:rsid w:val="00F357C4"/>
    <w:rsid w:val="00F35D0A"/>
    <w:rsid w:val="00F412EA"/>
    <w:rsid w:val="00F4284C"/>
    <w:rsid w:val="00F432BC"/>
    <w:rsid w:val="00F437AC"/>
    <w:rsid w:val="00F4444D"/>
    <w:rsid w:val="00F44EDD"/>
    <w:rsid w:val="00F45D7C"/>
    <w:rsid w:val="00F470FC"/>
    <w:rsid w:val="00F55149"/>
    <w:rsid w:val="00F562AB"/>
    <w:rsid w:val="00F562D5"/>
    <w:rsid w:val="00F563DC"/>
    <w:rsid w:val="00F61E71"/>
    <w:rsid w:val="00F643F9"/>
    <w:rsid w:val="00F6477C"/>
    <w:rsid w:val="00F653A7"/>
    <w:rsid w:val="00F66455"/>
    <w:rsid w:val="00F66C56"/>
    <w:rsid w:val="00F70434"/>
    <w:rsid w:val="00F70F31"/>
    <w:rsid w:val="00F727E1"/>
    <w:rsid w:val="00F730CC"/>
    <w:rsid w:val="00F73562"/>
    <w:rsid w:val="00F75B6D"/>
    <w:rsid w:val="00F76531"/>
    <w:rsid w:val="00F80D89"/>
    <w:rsid w:val="00F81A11"/>
    <w:rsid w:val="00F81CFC"/>
    <w:rsid w:val="00F83C32"/>
    <w:rsid w:val="00F84D1F"/>
    <w:rsid w:val="00F85743"/>
    <w:rsid w:val="00F85C0C"/>
    <w:rsid w:val="00F90E1B"/>
    <w:rsid w:val="00F91330"/>
    <w:rsid w:val="00F94ECA"/>
    <w:rsid w:val="00F95224"/>
    <w:rsid w:val="00F96318"/>
    <w:rsid w:val="00F96B76"/>
    <w:rsid w:val="00F97718"/>
    <w:rsid w:val="00FA1933"/>
    <w:rsid w:val="00FA2530"/>
    <w:rsid w:val="00FA291C"/>
    <w:rsid w:val="00FA380A"/>
    <w:rsid w:val="00FA38D0"/>
    <w:rsid w:val="00FA40C5"/>
    <w:rsid w:val="00FA555D"/>
    <w:rsid w:val="00FA5B3C"/>
    <w:rsid w:val="00FA67C8"/>
    <w:rsid w:val="00FB07C8"/>
    <w:rsid w:val="00FB083A"/>
    <w:rsid w:val="00FB0A63"/>
    <w:rsid w:val="00FB14B1"/>
    <w:rsid w:val="00FB159C"/>
    <w:rsid w:val="00FB1F01"/>
    <w:rsid w:val="00FB2813"/>
    <w:rsid w:val="00FB29E1"/>
    <w:rsid w:val="00FB2AB6"/>
    <w:rsid w:val="00FB2FAA"/>
    <w:rsid w:val="00FB4256"/>
    <w:rsid w:val="00FB487C"/>
    <w:rsid w:val="00FB4C1A"/>
    <w:rsid w:val="00FB5CC8"/>
    <w:rsid w:val="00FB7025"/>
    <w:rsid w:val="00FB72CD"/>
    <w:rsid w:val="00FC04A8"/>
    <w:rsid w:val="00FC0923"/>
    <w:rsid w:val="00FC095F"/>
    <w:rsid w:val="00FC0A91"/>
    <w:rsid w:val="00FC178C"/>
    <w:rsid w:val="00FC1F57"/>
    <w:rsid w:val="00FC2B46"/>
    <w:rsid w:val="00FC33B3"/>
    <w:rsid w:val="00FC4467"/>
    <w:rsid w:val="00FC65C7"/>
    <w:rsid w:val="00FD21F4"/>
    <w:rsid w:val="00FD2967"/>
    <w:rsid w:val="00FD37AB"/>
    <w:rsid w:val="00FD5858"/>
    <w:rsid w:val="00FD5A78"/>
    <w:rsid w:val="00FD5B56"/>
    <w:rsid w:val="00FD66BB"/>
    <w:rsid w:val="00FD6D27"/>
    <w:rsid w:val="00FD7482"/>
    <w:rsid w:val="00FE021B"/>
    <w:rsid w:val="00FE10EE"/>
    <w:rsid w:val="00FE5109"/>
    <w:rsid w:val="00FE56EB"/>
    <w:rsid w:val="00FE5837"/>
    <w:rsid w:val="00FF097A"/>
    <w:rsid w:val="00FF347C"/>
    <w:rsid w:val="00FF3F3C"/>
    <w:rsid w:val="00FF4898"/>
    <w:rsid w:val="00FF792E"/>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BEED77A0-18A2-43AD-B34F-CEED8FE6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BB"/>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F84D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7838"/>
    <w:pPr>
      <w:spacing w:before="100" w:beforeAutospacing="1" w:after="100" w:afterAutospacing="1"/>
      <w:outlineLvl w:val="1"/>
    </w:pPr>
    <w:rPr>
      <w:b/>
      <w:bCs/>
      <w:sz w:val="36"/>
      <w:szCs w:val="36"/>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C29C9"/>
    <w:pPr>
      <w:spacing w:before="60" w:line="280" w:lineRule="exact"/>
      <w:jc w:val="both"/>
    </w:pPr>
    <w:rPr>
      <w:rFonts w:ascii="Helvetica Neue" w:eastAsia="Cambria" w:hAnsi="Helvetica Neue"/>
      <w:sz w:val="21"/>
      <w:lang w:val="fr-FR" w:eastAsia="en-US"/>
    </w:rPr>
  </w:style>
  <w:style w:type="table" w:styleId="TableGrid">
    <w:name w:val="Table Grid"/>
    <w:basedOn w:val="Table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AF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F7AF4"/>
    <w:rPr>
      <w:rFonts w:ascii="Segoe UI" w:hAnsi="Segoe UI" w:cs="Segoe UI"/>
      <w:sz w:val="18"/>
      <w:szCs w:val="18"/>
    </w:rPr>
  </w:style>
  <w:style w:type="character" w:styleId="CommentReference">
    <w:name w:val="annotation reference"/>
    <w:basedOn w:val="DefaultParagraphFont"/>
    <w:uiPriority w:val="99"/>
    <w:unhideWhenUsed/>
    <w:rsid w:val="006F7AF4"/>
    <w:rPr>
      <w:sz w:val="16"/>
      <w:szCs w:val="16"/>
    </w:rPr>
  </w:style>
  <w:style w:type="paragraph" w:styleId="CommentText">
    <w:name w:val="annotation text"/>
    <w:basedOn w:val="Normal"/>
    <w:link w:val="CommentTextChar"/>
    <w:uiPriority w:val="99"/>
    <w:unhideWhenUsed/>
    <w:rsid w:val="006F7AF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F7AF4"/>
    <w:rPr>
      <w:sz w:val="20"/>
      <w:szCs w:val="20"/>
    </w:rPr>
  </w:style>
  <w:style w:type="paragraph" w:styleId="CommentSubject">
    <w:name w:val="annotation subject"/>
    <w:basedOn w:val="CommentText"/>
    <w:next w:val="CommentText"/>
    <w:link w:val="CommentSubjectChar"/>
    <w:uiPriority w:val="99"/>
    <w:semiHidden/>
    <w:unhideWhenUsed/>
    <w:rsid w:val="006F7AF4"/>
    <w:rPr>
      <w:b/>
      <w:bCs/>
    </w:rPr>
  </w:style>
  <w:style w:type="character" w:customStyle="1" w:styleId="CommentSubjectChar">
    <w:name w:val="Comment Subject Char"/>
    <w:basedOn w:val="CommentTextChar"/>
    <w:link w:val="CommentSubject"/>
    <w:uiPriority w:val="99"/>
    <w:semiHidden/>
    <w:rsid w:val="006F7AF4"/>
    <w:rPr>
      <w:b/>
      <w:bCs/>
      <w:sz w:val="20"/>
      <w:szCs w:val="20"/>
    </w:rPr>
  </w:style>
  <w:style w:type="paragraph" w:styleId="ListParagraph">
    <w:name w:val="List Paragraph"/>
    <w:basedOn w:val="Normal"/>
    <w:uiPriority w:val="34"/>
    <w:qFormat/>
    <w:rsid w:val="00341CE3"/>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p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rsid w:val="0071335C"/>
    <w:pPr>
      <w:spacing w:before="60" w:after="60"/>
    </w:pPr>
    <w:rPr>
      <w:rFonts w:ascii="Helvetica Neue" w:eastAsia="Cambria" w:hAnsi="Helvetica Neue"/>
      <w:sz w:val="16"/>
      <w:lang w:val="fr-FR" w:eastAsia="en-US"/>
    </w:rPr>
  </w:style>
  <w:style w:type="character" w:customStyle="1" w:styleId="plist">
    <w:name w:val="p_list"/>
    <w:basedOn w:val="DefaultParagraphFont"/>
    <w:rsid w:val="00956A91"/>
  </w:style>
  <w:style w:type="character" w:customStyle="1" w:styleId="fontstyle01">
    <w:name w:val="fontstyle01"/>
    <w:basedOn w:val="DefaultParagraphFont"/>
    <w:rsid w:val="004F75C7"/>
    <w:rPr>
      <w:rFonts w:ascii="Standard-Book" w:hAnsi="Standard-Book" w:hint="default"/>
      <w:b w:val="0"/>
      <w:bCs w:val="0"/>
      <w:i w:val="0"/>
      <w:iCs w:val="0"/>
      <w:color w:val="000000"/>
      <w:sz w:val="20"/>
      <w:szCs w:val="20"/>
    </w:rPr>
  </w:style>
  <w:style w:type="character" w:customStyle="1" w:styleId="fontstyle21">
    <w:name w:val="fontstyle21"/>
    <w:basedOn w:val="DefaultParagraphFont"/>
    <w:rsid w:val="008303C8"/>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B4BAA"/>
  </w:style>
  <w:style w:type="paragraph" w:styleId="Footer">
    <w:name w:val="footer"/>
    <w:basedOn w:val="Normal"/>
    <w:link w:val="Foot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BAA"/>
  </w:style>
  <w:style w:type="character" w:customStyle="1" w:styleId="eop">
    <w:name w:val="eop"/>
    <w:basedOn w:val="DefaultParagraphFont"/>
    <w:rsid w:val="00E75A3B"/>
  </w:style>
  <w:style w:type="paragraph" w:customStyle="1" w:styleId="xmsonormal">
    <w:name w:val="xmsonormal"/>
    <w:basedOn w:val="Normal"/>
    <w:rsid w:val="00A70830"/>
    <w:pPr>
      <w:spacing w:before="100" w:beforeAutospacing="1" w:after="100" w:afterAutospacing="1"/>
    </w:pPr>
    <w:rPr>
      <w:rFonts w:eastAsiaTheme="minorHAnsi"/>
      <w:lang w:eastAsia="fr-BE"/>
    </w:rPr>
  </w:style>
  <w:style w:type="character" w:customStyle="1" w:styleId="Heading2Char">
    <w:name w:val="Heading 2 Char"/>
    <w:basedOn w:val="DefaultParagraphFont"/>
    <w:link w:val="Heading2"/>
    <w:uiPriority w:val="9"/>
    <w:rsid w:val="00CB7838"/>
    <w:rPr>
      <w:rFonts w:ascii="Times New Roman" w:eastAsia="Times New Roman" w:hAnsi="Times New Roman" w:cs="Times New Roman"/>
      <w:b/>
      <w:bCs/>
      <w:sz w:val="36"/>
      <w:szCs w:val="36"/>
      <w:lang w:eastAsia="fr-BE"/>
    </w:rPr>
  </w:style>
  <w:style w:type="character" w:styleId="Strong">
    <w:name w:val="Strong"/>
    <w:basedOn w:val="DefaultParagraphFont"/>
    <w:uiPriority w:val="22"/>
    <w:qFormat/>
    <w:rsid w:val="009E1373"/>
    <w:rPr>
      <w:b/>
      <w:bCs/>
    </w:rPr>
  </w:style>
  <w:style w:type="paragraph" w:styleId="FootnoteText">
    <w:name w:val="footnote text"/>
    <w:basedOn w:val="Normal"/>
    <w:link w:val="FootnoteTextChar"/>
    <w:uiPriority w:val="99"/>
    <w:semiHidden/>
    <w:unhideWhenUsed/>
    <w:rsid w:val="00C76DF1"/>
    <w:rPr>
      <w:sz w:val="20"/>
      <w:szCs w:val="20"/>
    </w:rPr>
  </w:style>
  <w:style w:type="character" w:customStyle="1" w:styleId="FootnoteTextChar">
    <w:name w:val="Footnote Text Char"/>
    <w:basedOn w:val="DefaultParagraphFont"/>
    <w:link w:val="FootnoteText"/>
    <w:uiPriority w:val="99"/>
    <w:semiHidden/>
    <w:rsid w:val="00C76DF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C76DF1"/>
    <w:rPr>
      <w:vertAlign w:val="superscript"/>
    </w:rPr>
  </w:style>
  <w:style w:type="character" w:customStyle="1" w:styleId="Heading1Char">
    <w:name w:val="Heading 1 Char"/>
    <w:basedOn w:val="DefaultParagraphFont"/>
    <w:link w:val="Heading1"/>
    <w:uiPriority w:val="9"/>
    <w:rsid w:val="00F84D1F"/>
    <w:rPr>
      <w:rFonts w:asciiTheme="majorHAnsi" w:eastAsiaTheme="majorEastAsia" w:hAnsiTheme="majorHAnsi" w:cstheme="majorBidi"/>
      <w:color w:val="2F5496" w:themeColor="accent1" w:themeShade="BF"/>
      <w:sz w:val="32"/>
      <w:szCs w:val="32"/>
      <w:lang w:eastAsia="fr-FR"/>
    </w:rPr>
  </w:style>
  <w:style w:type="character" w:styleId="Hyperlink">
    <w:name w:val="Hyperlink"/>
    <w:basedOn w:val="DefaultParagraphFont"/>
    <w:uiPriority w:val="99"/>
    <w:unhideWhenUsed/>
    <w:rsid w:val="00A66DE5"/>
    <w:rPr>
      <w:color w:val="0563C1" w:themeColor="hyperlink"/>
      <w:u w:val="single"/>
    </w:rPr>
  </w:style>
  <w:style w:type="character" w:customStyle="1" w:styleId="UnresolvedMention1">
    <w:name w:val="Unresolved Mention1"/>
    <w:basedOn w:val="DefaultParagraphFont"/>
    <w:uiPriority w:val="99"/>
    <w:semiHidden/>
    <w:unhideWhenUsed/>
    <w:rsid w:val="00A6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435">
      <w:bodyDiv w:val="1"/>
      <w:marLeft w:val="0"/>
      <w:marRight w:val="0"/>
      <w:marTop w:val="0"/>
      <w:marBottom w:val="0"/>
      <w:divBdr>
        <w:top w:val="none" w:sz="0" w:space="0" w:color="auto"/>
        <w:left w:val="none" w:sz="0" w:space="0" w:color="auto"/>
        <w:bottom w:val="none" w:sz="0" w:space="0" w:color="auto"/>
        <w:right w:val="none" w:sz="0" w:space="0" w:color="auto"/>
      </w:divBdr>
    </w:div>
    <w:div w:id="27997118">
      <w:bodyDiv w:val="1"/>
      <w:marLeft w:val="0"/>
      <w:marRight w:val="0"/>
      <w:marTop w:val="0"/>
      <w:marBottom w:val="0"/>
      <w:divBdr>
        <w:top w:val="none" w:sz="0" w:space="0" w:color="auto"/>
        <w:left w:val="none" w:sz="0" w:space="0" w:color="auto"/>
        <w:bottom w:val="none" w:sz="0" w:space="0" w:color="auto"/>
        <w:right w:val="none" w:sz="0" w:space="0" w:color="auto"/>
      </w:divBdr>
    </w:div>
    <w:div w:id="75902495">
      <w:bodyDiv w:val="1"/>
      <w:marLeft w:val="0"/>
      <w:marRight w:val="0"/>
      <w:marTop w:val="0"/>
      <w:marBottom w:val="0"/>
      <w:divBdr>
        <w:top w:val="none" w:sz="0" w:space="0" w:color="auto"/>
        <w:left w:val="none" w:sz="0" w:space="0" w:color="auto"/>
        <w:bottom w:val="none" w:sz="0" w:space="0" w:color="auto"/>
        <w:right w:val="none" w:sz="0" w:space="0" w:color="auto"/>
      </w:divBdr>
    </w:div>
    <w:div w:id="85468323">
      <w:bodyDiv w:val="1"/>
      <w:marLeft w:val="0"/>
      <w:marRight w:val="0"/>
      <w:marTop w:val="0"/>
      <w:marBottom w:val="0"/>
      <w:divBdr>
        <w:top w:val="none" w:sz="0" w:space="0" w:color="auto"/>
        <w:left w:val="none" w:sz="0" w:space="0" w:color="auto"/>
        <w:bottom w:val="none" w:sz="0" w:space="0" w:color="auto"/>
        <w:right w:val="none" w:sz="0" w:space="0" w:color="auto"/>
      </w:divBdr>
    </w:div>
    <w:div w:id="104809313">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61748743">
      <w:bodyDiv w:val="1"/>
      <w:marLeft w:val="0"/>
      <w:marRight w:val="0"/>
      <w:marTop w:val="0"/>
      <w:marBottom w:val="0"/>
      <w:divBdr>
        <w:top w:val="none" w:sz="0" w:space="0" w:color="auto"/>
        <w:left w:val="none" w:sz="0" w:space="0" w:color="auto"/>
        <w:bottom w:val="none" w:sz="0" w:space="0" w:color="auto"/>
        <w:right w:val="none" w:sz="0" w:space="0" w:color="auto"/>
      </w:divBdr>
    </w:div>
    <w:div w:id="180320640">
      <w:bodyDiv w:val="1"/>
      <w:marLeft w:val="0"/>
      <w:marRight w:val="0"/>
      <w:marTop w:val="0"/>
      <w:marBottom w:val="0"/>
      <w:divBdr>
        <w:top w:val="none" w:sz="0" w:space="0" w:color="auto"/>
        <w:left w:val="none" w:sz="0" w:space="0" w:color="auto"/>
        <w:bottom w:val="none" w:sz="0" w:space="0" w:color="auto"/>
        <w:right w:val="none" w:sz="0" w:space="0" w:color="auto"/>
      </w:divBdr>
    </w:div>
    <w:div w:id="212356656">
      <w:bodyDiv w:val="1"/>
      <w:marLeft w:val="0"/>
      <w:marRight w:val="0"/>
      <w:marTop w:val="0"/>
      <w:marBottom w:val="0"/>
      <w:divBdr>
        <w:top w:val="none" w:sz="0" w:space="0" w:color="auto"/>
        <w:left w:val="none" w:sz="0" w:space="0" w:color="auto"/>
        <w:bottom w:val="none" w:sz="0" w:space="0" w:color="auto"/>
        <w:right w:val="none" w:sz="0" w:space="0" w:color="auto"/>
      </w:divBdr>
    </w:div>
    <w:div w:id="232935469">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68047715">
      <w:bodyDiv w:val="1"/>
      <w:marLeft w:val="0"/>
      <w:marRight w:val="0"/>
      <w:marTop w:val="0"/>
      <w:marBottom w:val="0"/>
      <w:divBdr>
        <w:top w:val="none" w:sz="0" w:space="0" w:color="auto"/>
        <w:left w:val="none" w:sz="0" w:space="0" w:color="auto"/>
        <w:bottom w:val="none" w:sz="0" w:space="0" w:color="auto"/>
        <w:right w:val="none" w:sz="0" w:space="0" w:color="auto"/>
      </w:divBdr>
    </w:div>
    <w:div w:id="286277846">
      <w:bodyDiv w:val="1"/>
      <w:marLeft w:val="0"/>
      <w:marRight w:val="0"/>
      <w:marTop w:val="0"/>
      <w:marBottom w:val="0"/>
      <w:divBdr>
        <w:top w:val="none" w:sz="0" w:space="0" w:color="auto"/>
        <w:left w:val="none" w:sz="0" w:space="0" w:color="auto"/>
        <w:bottom w:val="none" w:sz="0" w:space="0" w:color="auto"/>
        <w:right w:val="none" w:sz="0" w:space="0" w:color="auto"/>
      </w:divBdr>
    </w:div>
    <w:div w:id="294528747">
      <w:bodyDiv w:val="1"/>
      <w:marLeft w:val="0"/>
      <w:marRight w:val="0"/>
      <w:marTop w:val="0"/>
      <w:marBottom w:val="0"/>
      <w:divBdr>
        <w:top w:val="none" w:sz="0" w:space="0" w:color="auto"/>
        <w:left w:val="none" w:sz="0" w:space="0" w:color="auto"/>
        <w:bottom w:val="none" w:sz="0" w:space="0" w:color="auto"/>
        <w:right w:val="none" w:sz="0" w:space="0" w:color="auto"/>
      </w:divBdr>
    </w:div>
    <w:div w:id="299775898">
      <w:bodyDiv w:val="1"/>
      <w:marLeft w:val="0"/>
      <w:marRight w:val="0"/>
      <w:marTop w:val="0"/>
      <w:marBottom w:val="0"/>
      <w:divBdr>
        <w:top w:val="none" w:sz="0" w:space="0" w:color="auto"/>
        <w:left w:val="none" w:sz="0" w:space="0" w:color="auto"/>
        <w:bottom w:val="none" w:sz="0" w:space="0" w:color="auto"/>
        <w:right w:val="none" w:sz="0" w:space="0" w:color="auto"/>
      </w:divBdr>
    </w:div>
    <w:div w:id="327248076">
      <w:bodyDiv w:val="1"/>
      <w:marLeft w:val="0"/>
      <w:marRight w:val="0"/>
      <w:marTop w:val="0"/>
      <w:marBottom w:val="0"/>
      <w:divBdr>
        <w:top w:val="none" w:sz="0" w:space="0" w:color="auto"/>
        <w:left w:val="none" w:sz="0" w:space="0" w:color="auto"/>
        <w:bottom w:val="none" w:sz="0" w:space="0" w:color="auto"/>
        <w:right w:val="none" w:sz="0" w:space="0" w:color="auto"/>
      </w:divBdr>
    </w:div>
    <w:div w:id="339553061">
      <w:bodyDiv w:val="1"/>
      <w:marLeft w:val="0"/>
      <w:marRight w:val="0"/>
      <w:marTop w:val="0"/>
      <w:marBottom w:val="0"/>
      <w:divBdr>
        <w:top w:val="none" w:sz="0" w:space="0" w:color="auto"/>
        <w:left w:val="none" w:sz="0" w:space="0" w:color="auto"/>
        <w:bottom w:val="none" w:sz="0" w:space="0" w:color="auto"/>
        <w:right w:val="none" w:sz="0" w:space="0" w:color="auto"/>
      </w:divBdr>
    </w:div>
    <w:div w:id="341978843">
      <w:bodyDiv w:val="1"/>
      <w:marLeft w:val="0"/>
      <w:marRight w:val="0"/>
      <w:marTop w:val="0"/>
      <w:marBottom w:val="0"/>
      <w:divBdr>
        <w:top w:val="none" w:sz="0" w:space="0" w:color="auto"/>
        <w:left w:val="none" w:sz="0" w:space="0" w:color="auto"/>
        <w:bottom w:val="none" w:sz="0" w:space="0" w:color="auto"/>
        <w:right w:val="none" w:sz="0" w:space="0" w:color="auto"/>
      </w:divBdr>
    </w:div>
    <w:div w:id="361438305">
      <w:bodyDiv w:val="1"/>
      <w:marLeft w:val="0"/>
      <w:marRight w:val="0"/>
      <w:marTop w:val="0"/>
      <w:marBottom w:val="0"/>
      <w:divBdr>
        <w:top w:val="none" w:sz="0" w:space="0" w:color="auto"/>
        <w:left w:val="none" w:sz="0" w:space="0" w:color="auto"/>
        <w:bottom w:val="none" w:sz="0" w:space="0" w:color="auto"/>
        <w:right w:val="none" w:sz="0" w:space="0" w:color="auto"/>
      </w:divBdr>
    </w:div>
    <w:div w:id="366370763">
      <w:bodyDiv w:val="1"/>
      <w:marLeft w:val="0"/>
      <w:marRight w:val="0"/>
      <w:marTop w:val="0"/>
      <w:marBottom w:val="0"/>
      <w:divBdr>
        <w:top w:val="none" w:sz="0" w:space="0" w:color="auto"/>
        <w:left w:val="none" w:sz="0" w:space="0" w:color="auto"/>
        <w:bottom w:val="none" w:sz="0" w:space="0" w:color="auto"/>
        <w:right w:val="none" w:sz="0" w:space="0" w:color="auto"/>
      </w:divBdr>
    </w:div>
    <w:div w:id="373581016">
      <w:bodyDiv w:val="1"/>
      <w:marLeft w:val="0"/>
      <w:marRight w:val="0"/>
      <w:marTop w:val="0"/>
      <w:marBottom w:val="0"/>
      <w:divBdr>
        <w:top w:val="none" w:sz="0" w:space="0" w:color="auto"/>
        <w:left w:val="none" w:sz="0" w:space="0" w:color="auto"/>
        <w:bottom w:val="none" w:sz="0" w:space="0" w:color="auto"/>
        <w:right w:val="none" w:sz="0" w:space="0" w:color="auto"/>
      </w:divBdr>
    </w:div>
    <w:div w:id="388261243">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24377197">
      <w:bodyDiv w:val="1"/>
      <w:marLeft w:val="0"/>
      <w:marRight w:val="0"/>
      <w:marTop w:val="0"/>
      <w:marBottom w:val="0"/>
      <w:divBdr>
        <w:top w:val="none" w:sz="0" w:space="0" w:color="auto"/>
        <w:left w:val="none" w:sz="0" w:space="0" w:color="auto"/>
        <w:bottom w:val="none" w:sz="0" w:space="0" w:color="auto"/>
        <w:right w:val="none" w:sz="0" w:space="0" w:color="auto"/>
      </w:divBdr>
    </w:div>
    <w:div w:id="435365904">
      <w:bodyDiv w:val="1"/>
      <w:marLeft w:val="0"/>
      <w:marRight w:val="0"/>
      <w:marTop w:val="0"/>
      <w:marBottom w:val="0"/>
      <w:divBdr>
        <w:top w:val="none" w:sz="0" w:space="0" w:color="auto"/>
        <w:left w:val="none" w:sz="0" w:space="0" w:color="auto"/>
        <w:bottom w:val="none" w:sz="0" w:space="0" w:color="auto"/>
        <w:right w:val="none" w:sz="0" w:space="0" w:color="auto"/>
      </w:divBdr>
    </w:div>
    <w:div w:id="471214855">
      <w:bodyDiv w:val="1"/>
      <w:marLeft w:val="0"/>
      <w:marRight w:val="0"/>
      <w:marTop w:val="0"/>
      <w:marBottom w:val="0"/>
      <w:divBdr>
        <w:top w:val="none" w:sz="0" w:space="0" w:color="auto"/>
        <w:left w:val="none" w:sz="0" w:space="0" w:color="auto"/>
        <w:bottom w:val="none" w:sz="0" w:space="0" w:color="auto"/>
        <w:right w:val="none" w:sz="0" w:space="0" w:color="auto"/>
      </w:divBdr>
    </w:div>
    <w:div w:id="494609458">
      <w:bodyDiv w:val="1"/>
      <w:marLeft w:val="0"/>
      <w:marRight w:val="0"/>
      <w:marTop w:val="0"/>
      <w:marBottom w:val="0"/>
      <w:divBdr>
        <w:top w:val="none" w:sz="0" w:space="0" w:color="auto"/>
        <w:left w:val="none" w:sz="0" w:space="0" w:color="auto"/>
        <w:bottom w:val="none" w:sz="0" w:space="0" w:color="auto"/>
        <w:right w:val="none" w:sz="0" w:space="0" w:color="auto"/>
      </w:divBdr>
    </w:div>
    <w:div w:id="499928725">
      <w:bodyDiv w:val="1"/>
      <w:marLeft w:val="0"/>
      <w:marRight w:val="0"/>
      <w:marTop w:val="0"/>
      <w:marBottom w:val="0"/>
      <w:divBdr>
        <w:top w:val="none" w:sz="0" w:space="0" w:color="auto"/>
        <w:left w:val="none" w:sz="0" w:space="0" w:color="auto"/>
        <w:bottom w:val="none" w:sz="0" w:space="0" w:color="auto"/>
        <w:right w:val="none" w:sz="0" w:space="0" w:color="auto"/>
      </w:divBdr>
    </w:div>
    <w:div w:id="501629554">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574121442">
      <w:bodyDiv w:val="1"/>
      <w:marLeft w:val="0"/>
      <w:marRight w:val="0"/>
      <w:marTop w:val="0"/>
      <w:marBottom w:val="0"/>
      <w:divBdr>
        <w:top w:val="none" w:sz="0" w:space="0" w:color="auto"/>
        <w:left w:val="none" w:sz="0" w:space="0" w:color="auto"/>
        <w:bottom w:val="none" w:sz="0" w:space="0" w:color="auto"/>
        <w:right w:val="none" w:sz="0" w:space="0" w:color="auto"/>
      </w:divBdr>
    </w:div>
    <w:div w:id="598949970">
      <w:bodyDiv w:val="1"/>
      <w:marLeft w:val="0"/>
      <w:marRight w:val="0"/>
      <w:marTop w:val="0"/>
      <w:marBottom w:val="0"/>
      <w:divBdr>
        <w:top w:val="none" w:sz="0" w:space="0" w:color="auto"/>
        <w:left w:val="none" w:sz="0" w:space="0" w:color="auto"/>
        <w:bottom w:val="none" w:sz="0" w:space="0" w:color="auto"/>
        <w:right w:val="none" w:sz="0" w:space="0" w:color="auto"/>
      </w:divBdr>
    </w:div>
    <w:div w:id="599411779">
      <w:bodyDiv w:val="1"/>
      <w:marLeft w:val="0"/>
      <w:marRight w:val="0"/>
      <w:marTop w:val="0"/>
      <w:marBottom w:val="0"/>
      <w:divBdr>
        <w:top w:val="none" w:sz="0" w:space="0" w:color="auto"/>
        <w:left w:val="none" w:sz="0" w:space="0" w:color="auto"/>
        <w:bottom w:val="none" w:sz="0" w:space="0" w:color="auto"/>
        <w:right w:val="none" w:sz="0" w:space="0" w:color="auto"/>
      </w:divBdr>
    </w:div>
    <w:div w:id="625090880">
      <w:bodyDiv w:val="1"/>
      <w:marLeft w:val="0"/>
      <w:marRight w:val="0"/>
      <w:marTop w:val="0"/>
      <w:marBottom w:val="0"/>
      <w:divBdr>
        <w:top w:val="none" w:sz="0" w:space="0" w:color="auto"/>
        <w:left w:val="none" w:sz="0" w:space="0" w:color="auto"/>
        <w:bottom w:val="none" w:sz="0" w:space="0" w:color="auto"/>
        <w:right w:val="none" w:sz="0" w:space="0" w:color="auto"/>
      </w:divBdr>
    </w:div>
    <w:div w:id="655571781">
      <w:bodyDiv w:val="1"/>
      <w:marLeft w:val="0"/>
      <w:marRight w:val="0"/>
      <w:marTop w:val="0"/>
      <w:marBottom w:val="0"/>
      <w:divBdr>
        <w:top w:val="none" w:sz="0" w:space="0" w:color="auto"/>
        <w:left w:val="none" w:sz="0" w:space="0" w:color="auto"/>
        <w:bottom w:val="none" w:sz="0" w:space="0" w:color="auto"/>
        <w:right w:val="none" w:sz="0" w:space="0" w:color="auto"/>
      </w:divBdr>
    </w:div>
    <w:div w:id="669214210">
      <w:bodyDiv w:val="1"/>
      <w:marLeft w:val="0"/>
      <w:marRight w:val="0"/>
      <w:marTop w:val="0"/>
      <w:marBottom w:val="0"/>
      <w:divBdr>
        <w:top w:val="none" w:sz="0" w:space="0" w:color="auto"/>
        <w:left w:val="none" w:sz="0" w:space="0" w:color="auto"/>
        <w:bottom w:val="none" w:sz="0" w:space="0" w:color="auto"/>
        <w:right w:val="none" w:sz="0" w:space="0" w:color="auto"/>
      </w:divBdr>
    </w:div>
    <w:div w:id="673413768">
      <w:bodyDiv w:val="1"/>
      <w:marLeft w:val="0"/>
      <w:marRight w:val="0"/>
      <w:marTop w:val="0"/>
      <w:marBottom w:val="0"/>
      <w:divBdr>
        <w:top w:val="none" w:sz="0" w:space="0" w:color="auto"/>
        <w:left w:val="none" w:sz="0" w:space="0" w:color="auto"/>
        <w:bottom w:val="none" w:sz="0" w:space="0" w:color="auto"/>
        <w:right w:val="none" w:sz="0" w:space="0" w:color="auto"/>
      </w:divBdr>
    </w:div>
    <w:div w:id="72194726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37901241">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791679640">
      <w:bodyDiv w:val="1"/>
      <w:marLeft w:val="0"/>
      <w:marRight w:val="0"/>
      <w:marTop w:val="0"/>
      <w:marBottom w:val="0"/>
      <w:divBdr>
        <w:top w:val="none" w:sz="0" w:space="0" w:color="auto"/>
        <w:left w:val="none" w:sz="0" w:space="0" w:color="auto"/>
        <w:bottom w:val="none" w:sz="0" w:space="0" w:color="auto"/>
        <w:right w:val="none" w:sz="0" w:space="0" w:color="auto"/>
      </w:divBdr>
    </w:div>
    <w:div w:id="803930166">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49103696">
      <w:bodyDiv w:val="1"/>
      <w:marLeft w:val="0"/>
      <w:marRight w:val="0"/>
      <w:marTop w:val="0"/>
      <w:marBottom w:val="0"/>
      <w:divBdr>
        <w:top w:val="none" w:sz="0" w:space="0" w:color="auto"/>
        <w:left w:val="none" w:sz="0" w:space="0" w:color="auto"/>
        <w:bottom w:val="none" w:sz="0" w:space="0" w:color="auto"/>
        <w:right w:val="none" w:sz="0" w:space="0" w:color="auto"/>
      </w:divBdr>
    </w:div>
    <w:div w:id="851190383">
      <w:bodyDiv w:val="1"/>
      <w:marLeft w:val="0"/>
      <w:marRight w:val="0"/>
      <w:marTop w:val="0"/>
      <w:marBottom w:val="0"/>
      <w:divBdr>
        <w:top w:val="none" w:sz="0" w:space="0" w:color="auto"/>
        <w:left w:val="none" w:sz="0" w:space="0" w:color="auto"/>
        <w:bottom w:val="none" w:sz="0" w:space="0" w:color="auto"/>
        <w:right w:val="none" w:sz="0" w:space="0" w:color="auto"/>
      </w:divBdr>
    </w:div>
    <w:div w:id="862786825">
      <w:bodyDiv w:val="1"/>
      <w:marLeft w:val="0"/>
      <w:marRight w:val="0"/>
      <w:marTop w:val="0"/>
      <w:marBottom w:val="0"/>
      <w:divBdr>
        <w:top w:val="none" w:sz="0" w:space="0" w:color="auto"/>
        <w:left w:val="none" w:sz="0" w:space="0" w:color="auto"/>
        <w:bottom w:val="none" w:sz="0" w:space="0" w:color="auto"/>
        <w:right w:val="none" w:sz="0" w:space="0" w:color="auto"/>
      </w:divBdr>
    </w:div>
    <w:div w:id="869302151">
      <w:bodyDiv w:val="1"/>
      <w:marLeft w:val="0"/>
      <w:marRight w:val="0"/>
      <w:marTop w:val="0"/>
      <w:marBottom w:val="0"/>
      <w:divBdr>
        <w:top w:val="none" w:sz="0" w:space="0" w:color="auto"/>
        <w:left w:val="none" w:sz="0" w:space="0" w:color="auto"/>
        <w:bottom w:val="none" w:sz="0" w:space="0" w:color="auto"/>
        <w:right w:val="none" w:sz="0" w:space="0" w:color="auto"/>
      </w:divBdr>
    </w:div>
    <w:div w:id="992177922">
      <w:bodyDiv w:val="1"/>
      <w:marLeft w:val="0"/>
      <w:marRight w:val="0"/>
      <w:marTop w:val="0"/>
      <w:marBottom w:val="0"/>
      <w:divBdr>
        <w:top w:val="none" w:sz="0" w:space="0" w:color="auto"/>
        <w:left w:val="none" w:sz="0" w:space="0" w:color="auto"/>
        <w:bottom w:val="none" w:sz="0" w:space="0" w:color="auto"/>
        <w:right w:val="none" w:sz="0" w:space="0" w:color="auto"/>
      </w:divBdr>
    </w:div>
    <w:div w:id="1005209041">
      <w:bodyDiv w:val="1"/>
      <w:marLeft w:val="0"/>
      <w:marRight w:val="0"/>
      <w:marTop w:val="0"/>
      <w:marBottom w:val="0"/>
      <w:divBdr>
        <w:top w:val="none" w:sz="0" w:space="0" w:color="auto"/>
        <w:left w:val="none" w:sz="0" w:space="0" w:color="auto"/>
        <w:bottom w:val="none" w:sz="0" w:space="0" w:color="auto"/>
        <w:right w:val="none" w:sz="0" w:space="0" w:color="auto"/>
      </w:divBdr>
    </w:div>
    <w:div w:id="1014697257">
      <w:bodyDiv w:val="1"/>
      <w:marLeft w:val="0"/>
      <w:marRight w:val="0"/>
      <w:marTop w:val="0"/>
      <w:marBottom w:val="0"/>
      <w:divBdr>
        <w:top w:val="none" w:sz="0" w:space="0" w:color="auto"/>
        <w:left w:val="none" w:sz="0" w:space="0" w:color="auto"/>
        <w:bottom w:val="none" w:sz="0" w:space="0" w:color="auto"/>
        <w:right w:val="none" w:sz="0" w:space="0" w:color="auto"/>
      </w:divBdr>
    </w:div>
    <w:div w:id="1017659610">
      <w:bodyDiv w:val="1"/>
      <w:marLeft w:val="0"/>
      <w:marRight w:val="0"/>
      <w:marTop w:val="0"/>
      <w:marBottom w:val="0"/>
      <w:divBdr>
        <w:top w:val="none" w:sz="0" w:space="0" w:color="auto"/>
        <w:left w:val="none" w:sz="0" w:space="0" w:color="auto"/>
        <w:bottom w:val="none" w:sz="0" w:space="0" w:color="auto"/>
        <w:right w:val="none" w:sz="0" w:space="0" w:color="auto"/>
      </w:divBdr>
    </w:div>
    <w:div w:id="1067722654">
      <w:bodyDiv w:val="1"/>
      <w:marLeft w:val="0"/>
      <w:marRight w:val="0"/>
      <w:marTop w:val="0"/>
      <w:marBottom w:val="0"/>
      <w:divBdr>
        <w:top w:val="none" w:sz="0" w:space="0" w:color="auto"/>
        <w:left w:val="none" w:sz="0" w:space="0" w:color="auto"/>
        <w:bottom w:val="none" w:sz="0" w:space="0" w:color="auto"/>
        <w:right w:val="none" w:sz="0" w:space="0" w:color="auto"/>
      </w:divBdr>
    </w:div>
    <w:div w:id="1078289125">
      <w:bodyDiv w:val="1"/>
      <w:marLeft w:val="0"/>
      <w:marRight w:val="0"/>
      <w:marTop w:val="0"/>
      <w:marBottom w:val="0"/>
      <w:divBdr>
        <w:top w:val="none" w:sz="0" w:space="0" w:color="auto"/>
        <w:left w:val="none" w:sz="0" w:space="0" w:color="auto"/>
        <w:bottom w:val="none" w:sz="0" w:space="0" w:color="auto"/>
        <w:right w:val="none" w:sz="0" w:space="0" w:color="auto"/>
      </w:divBdr>
    </w:div>
    <w:div w:id="1086419771">
      <w:bodyDiv w:val="1"/>
      <w:marLeft w:val="0"/>
      <w:marRight w:val="0"/>
      <w:marTop w:val="0"/>
      <w:marBottom w:val="0"/>
      <w:divBdr>
        <w:top w:val="none" w:sz="0" w:space="0" w:color="auto"/>
        <w:left w:val="none" w:sz="0" w:space="0" w:color="auto"/>
        <w:bottom w:val="none" w:sz="0" w:space="0" w:color="auto"/>
        <w:right w:val="none" w:sz="0" w:space="0" w:color="auto"/>
      </w:divBdr>
    </w:div>
    <w:div w:id="1118765395">
      <w:bodyDiv w:val="1"/>
      <w:marLeft w:val="0"/>
      <w:marRight w:val="0"/>
      <w:marTop w:val="0"/>
      <w:marBottom w:val="0"/>
      <w:divBdr>
        <w:top w:val="none" w:sz="0" w:space="0" w:color="auto"/>
        <w:left w:val="none" w:sz="0" w:space="0" w:color="auto"/>
        <w:bottom w:val="none" w:sz="0" w:space="0" w:color="auto"/>
        <w:right w:val="none" w:sz="0" w:space="0" w:color="auto"/>
      </w:divBdr>
    </w:div>
    <w:div w:id="1118837691">
      <w:bodyDiv w:val="1"/>
      <w:marLeft w:val="0"/>
      <w:marRight w:val="0"/>
      <w:marTop w:val="0"/>
      <w:marBottom w:val="0"/>
      <w:divBdr>
        <w:top w:val="none" w:sz="0" w:space="0" w:color="auto"/>
        <w:left w:val="none" w:sz="0" w:space="0" w:color="auto"/>
        <w:bottom w:val="none" w:sz="0" w:space="0" w:color="auto"/>
        <w:right w:val="none" w:sz="0" w:space="0" w:color="auto"/>
      </w:divBdr>
    </w:div>
    <w:div w:id="1131049614">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sChild>
        <w:div w:id="1305425158">
          <w:marLeft w:val="0"/>
          <w:marRight w:val="0"/>
          <w:marTop w:val="0"/>
          <w:marBottom w:val="0"/>
          <w:divBdr>
            <w:top w:val="none" w:sz="0" w:space="0" w:color="auto"/>
            <w:left w:val="none" w:sz="0" w:space="0" w:color="auto"/>
            <w:bottom w:val="none" w:sz="0" w:space="0" w:color="auto"/>
            <w:right w:val="none" w:sz="0" w:space="0" w:color="auto"/>
          </w:divBdr>
          <w:divsChild>
            <w:div w:id="14020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1000">
      <w:bodyDiv w:val="1"/>
      <w:marLeft w:val="0"/>
      <w:marRight w:val="0"/>
      <w:marTop w:val="0"/>
      <w:marBottom w:val="0"/>
      <w:divBdr>
        <w:top w:val="none" w:sz="0" w:space="0" w:color="auto"/>
        <w:left w:val="none" w:sz="0" w:space="0" w:color="auto"/>
        <w:bottom w:val="none" w:sz="0" w:space="0" w:color="auto"/>
        <w:right w:val="none" w:sz="0" w:space="0" w:color="auto"/>
      </w:divBdr>
    </w:div>
    <w:div w:id="1138911839">
      <w:bodyDiv w:val="1"/>
      <w:marLeft w:val="0"/>
      <w:marRight w:val="0"/>
      <w:marTop w:val="0"/>
      <w:marBottom w:val="0"/>
      <w:divBdr>
        <w:top w:val="none" w:sz="0" w:space="0" w:color="auto"/>
        <w:left w:val="none" w:sz="0" w:space="0" w:color="auto"/>
        <w:bottom w:val="none" w:sz="0" w:space="0" w:color="auto"/>
        <w:right w:val="none" w:sz="0" w:space="0" w:color="auto"/>
      </w:divBdr>
    </w:div>
    <w:div w:id="1144156449">
      <w:bodyDiv w:val="1"/>
      <w:marLeft w:val="0"/>
      <w:marRight w:val="0"/>
      <w:marTop w:val="0"/>
      <w:marBottom w:val="0"/>
      <w:divBdr>
        <w:top w:val="none" w:sz="0" w:space="0" w:color="auto"/>
        <w:left w:val="none" w:sz="0" w:space="0" w:color="auto"/>
        <w:bottom w:val="none" w:sz="0" w:space="0" w:color="auto"/>
        <w:right w:val="none" w:sz="0" w:space="0" w:color="auto"/>
      </w:divBdr>
    </w:div>
    <w:div w:id="1175538717">
      <w:bodyDiv w:val="1"/>
      <w:marLeft w:val="0"/>
      <w:marRight w:val="0"/>
      <w:marTop w:val="0"/>
      <w:marBottom w:val="0"/>
      <w:divBdr>
        <w:top w:val="none" w:sz="0" w:space="0" w:color="auto"/>
        <w:left w:val="none" w:sz="0" w:space="0" w:color="auto"/>
        <w:bottom w:val="none" w:sz="0" w:space="0" w:color="auto"/>
        <w:right w:val="none" w:sz="0" w:space="0" w:color="auto"/>
      </w:divBdr>
    </w:div>
    <w:div w:id="1179150880">
      <w:bodyDiv w:val="1"/>
      <w:marLeft w:val="0"/>
      <w:marRight w:val="0"/>
      <w:marTop w:val="0"/>
      <w:marBottom w:val="0"/>
      <w:divBdr>
        <w:top w:val="none" w:sz="0" w:space="0" w:color="auto"/>
        <w:left w:val="none" w:sz="0" w:space="0" w:color="auto"/>
        <w:bottom w:val="none" w:sz="0" w:space="0" w:color="auto"/>
        <w:right w:val="none" w:sz="0" w:space="0" w:color="auto"/>
      </w:divBdr>
    </w:div>
    <w:div w:id="1179390085">
      <w:bodyDiv w:val="1"/>
      <w:marLeft w:val="0"/>
      <w:marRight w:val="0"/>
      <w:marTop w:val="0"/>
      <w:marBottom w:val="0"/>
      <w:divBdr>
        <w:top w:val="none" w:sz="0" w:space="0" w:color="auto"/>
        <w:left w:val="none" w:sz="0" w:space="0" w:color="auto"/>
        <w:bottom w:val="none" w:sz="0" w:space="0" w:color="auto"/>
        <w:right w:val="none" w:sz="0" w:space="0" w:color="auto"/>
      </w:divBdr>
    </w:div>
    <w:div w:id="1187985182">
      <w:bodyDiv w:val="1"/>
      <w:marLeft w:val="0"/>
      <w:marRight w:val="0"/>
      <w:marTop w:val="0"/>
      <w:marBottom w:val="0"/>
      <w:divBdr>
        <w:top w:val="none" w:sz="0" w:space="0" w:color="auto"/>
        <w:left w:val="none" w:sz="0" w:space="0" w:color="auto"/>
        <w:bottom w:val="none" w:sz="0" w:space="0" w:color="auto"/>
        <w:right w:val="none" w:sz="0" w:space="0" w:color="auto"/>
      </w:divBdr>
    </w:div>
    <w:div w:id="1197766644">
      <w:bodyDiv w:val="1"/>
      <w:marLeft w:val="0"/>
      <w:marRight w:val="0"/>
      <w:marTop w:val="0"/>
      <w:marBottom w:val="0"/>
      <w:divBdr>
        <w:top w:val="none" w:sz="0" w:space="0" w:color="auto"/>
        <w:left w:val="none" w:sz="0" w:space="0" w:color="auto"/>
        <w:bottom w:val="none" w:sz="0" w:space="0" w:color="auto"/>
        <w:right w:val="none" w:sz="0" w:space="0" w:color="auto"/>
      </w:divBdr>
    </w:div>
    <w:div w:id="1203589102">
      <w:bodyDiv w:val="1"/>
      <w:marLeft w:val="0"/>
      <w:marRight w:val="0"/>
      <w:marTop w:val="0"/>
      <w:marBottom w:val="0"/>
      <w:divBdr>
        <w:top w:val="none" w:sz="0" w:space="0" w:color="auto"/>
        <w:left w:val="none" w:sz="0" w:space="0" w:color="auto"/>
        <w:bottom w:val="none" w:sz="0" w:space="0" w:color="auto"/>
        <w:right w:val="none" w:sz="0" w:space="0" w:color="auto"/>
      </w:divBdr>
    </w:div>
    <w:div w:id="1212889825">
      <w:bodyDiv w:val="1"/>
      <w:marLeft w:val="0"/>
      <w:marRight w:val="0"/>
      <w:marTop w:val="0"/>
      <w:marBottom w:val="0"/>
      <w:divBdr>
        <w:top w:val="none" w:sz="0" w:space="0" w:color="auto"/>
        <w:left w:val="none" w:sz="0" w:space="0" w:color="auto"/>
        <w:bottom w:val="none" w:sz="0" w:space="0" w:color="auto"/>
        <w:right w:val="none" w:sz="0" w:space="0" w:color="auto"/>
      </w:divBdr>
    </w:div>
    <w:div w:id="1232161118">
      <w:bodyDiv w:val="1"/>
      <w:marLeft w:val="0"/>
      <w:marRight w:val="0"/>
      <w:marTop w:val="0"/>
      <w:marBottom w:val="0"/>
      <w:divBdr>
        <w:top w:val="none" w:sz="0" w:space="0" w:color="auto"/>
        <w:left w:val="none" w:sz="0" w:space="0" w:color="auto"/>
        <w:bottom w:val="none" w:sz="0" w:space="0" w:color="auto"/>
        <w:right w:val="none" w:sz="0" w:space="0" w:color="auto"/>
      </w:divBdr>
    </w:div>
    <w:div w:id="1265579103">
      <w:bodyDiv w:val="1"/>
      <w:marLeft w:val="0"/>
      <w:marRight w:val="0"/>
      <w:marTop w:val="0"/>
      <w:marBottom w:val="0"/>
      <w:divBdr>
        <w:top w:val="none" w:sz="0" w:space="0" w:color="auto"/>
        <w:left w:val="none" w:sz="0" w:space="0" w:color="auto"/>
        <w:bottom w:val="none" w:sz="0" w:space="0" w:color="auto"/>
        <w:right w:val="none" w:sz="0" w:space="0" w:color="auto"/>
      </w:divBdr>
    </w:div>
    <w:div w:id="1268199567">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326543453">
      <w:bodyDiv w:val="1"/>
      <w:marLeft w:val="0"/>
      <w:marRight w:val="0"/>
      <w:marTop w:val="0"/>
      <w:marBottom w:val="0"/>
      <w:divBdr>
        <w:top w:val="none" w:sz="0" w:space="0" w:color="auto"/>
        <w:left w:val="none" w:sz="0" w:space="0" w:color="auto"/>
        <w:bottom w:val="none" w:sz="0" w:space="0" w:color="auto"/>
        <w:right w:val="none" w:sz="0" w:space="0" w:color="auto"/>
      </w:divBdr>
    </w:div>
    <w:div w:id="1362053967">
      <w:bodyDiv w:val="1"/>
      <w:marLeft w:val="0"/>
      <w:marRight w:val="0"/>
      <w:marTop w:val="0"/>
      <w:marBottom w:val="0"/>
      <w:divBdr>
        <w:top w:val="none" w:sz="0" w:space="0" w:color="auto"/>
        <w:left w:val="none" w:sz="0" w:space="0" w:color="auto"/>
        <w:bottom w:val="none" w:sz="0" w:space="0" w:color="auto"/>
        <w:right w:val="none" w:sz="0" w:space="0" w:color="auto"/>
      </w:divBdr>
    </w:div>
    <w:div w:id="1372918909">
      <w:bodyDiv w:val="1"/>
      <w:marLeft w:val="0"/>
      <w:marRight w:val="0"/>
      <w:marTop w:val="0"/>
      <w:marBottom w:val="0"/>
      <w:divBdr>
        <w:top w:val="none" w:sz="0" w:space="0" w:color="auto"/>
        <w:left w:val="none" w:sz="0" w:space="0" w:color="auto"/>
        <w:bottom w:val="none" w:sz="0" w:space="0" w:color="auto"/>
        <w:right w:val="none" w:sz="0" w:space="0" w:color="auto"/>
      </w:divBdr>
    </w:div>
    <w:div w:id="1409377654">
      <w:bodyDiv w:val="1"/>
      <w:marLeft w:val="0"/>
      <w:marRight w:val="0"/>
      <w:marTop w:val="0"/>
      <w:marBottom w:val="0"/>
      <w:divBdr>
        <w:top w:val="none" w:sz="0" w:space="0" w:color="auto"/>
        <w:left w:val="none" w:sz="0" w:space="0" w:color="auto"/>
        <w:bottom w:val="none" w:sz="0" w:space="0" w:color="auto"/>
        <w:right w:val="none" w:sz="0" w:space="0" w:color="auto"/>
      </w:divBdr>
    </w:div>
    <w:div w:id="1433548775">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474636464">
      <w:bodyDiv w:val="1"/>
      <w:marLeft w:val="0"/>
      <w:marRight w:val="0"/>
      <w:marTop w:val="0"/>
      <w:marBottom w:val="0"/>
      <w:divBdr>
        <w:top w:val="none" w:sz="0" w:space="0" w:color="auto"/>
        <w:left w:val="none" w:sz="0" w:space="0" w:color="auto"/>
        <w:bottom w:val="none" w:sz="0" w:space="0" w:color="auto"/>
        <w:right w:val="none" w:sz="0" w:space="0" w:color="auto"/>
      </w:divBdr>
    </w:div>
    <w:div w:id="1516964949">
      <w:bodyDiv w:val="1"/>
      <w:marLeft w:val="0"/>
      <w:marRight w:val="0"/>
      <w:marTop w:val="0"/>
      <w:marBottom w:val="0"/>
      <w:divBdr>
        <w:top w:val="none" w:sz="0" w:space="0" w:color="auto"/>
        <w:left w:val="none" w:sz="0" w:space="0" w:color="auto"/>
        <w:bottom w:val="none" w:sz="0" w:space="0" w:color="auto"/>
        <w:right w:val="none" w:sz="0" w:space="0" w:color="auto"/>
      </w:divBdr>
    </w:div>
    <w:div w:id="1526792912">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605074488">
      <w:bodyDiv w:val="1"/>
      <w:marLeft w:val="0"/>
      <w:marRight w:val="0"/>
      <w:marTop w:val="0"/>
      <w:marBottom w:val="0"/>
      <w:divBdr>
        <w:top w:val="none" w:sz="0" w:space="0" w:color="auto"/>
        <w:left w:val="none" w:sz="0" w:space="0" w:color="auto"/>
        <w:bottom w:val="none" w:sz="0" w:space="0" w:color="auto"/>
        <w:right w:val="none" w:sz="0" w:space="0" w:color="auto"/>
      </w:divBdr>
    </w:div>
    <w:div w:id="1609505551">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614047562">
      <w:bodyDiv w:val="1"/>
      <w:marLeft w:val="0"/>
      <w:marRight w:val="0"/>
      <w:marTop w:val="0"/>
      <w:marBottom w:val="0"/>
      <w:divBdr>
        <w:top w:val="none" w:sz="0" w:space="0" w:color="auto"/>
        <w:left w:val="none" w:sz="0" w:space="0" w:color="auto"/>
        <w:bottom w:val="none" w:sz="0" w:space="0" w:color="auto"/>
        <w:right w:val="none" w:sz="0" w:space="0" w:color="auto"/>
      </w:divBdr>
    </w:div>
    <w:div w:id="1656840337">
      <w:bodyDiv w:val="1"/>
      <w:marLeft w:val="0"/>
      <w:marRight w:val="0"/>
      <w:marTop w:val="0"/>
      <w:marBottom w:val="0"/>
      <w:divBdr>
        <w:top w:val="none" w:sz="0" w:space="0" w:color="auto"/>
        <w:left w:val="none" w:sz="0" w:space="0" w:color="auto"/>
        <w:bottom w:val="none" w:sz="0" w:space="0" w:color="auto"/>
        <w:right w:val="none" w:sz="0" w:space="0" w:color="auto"/>
      </w:divBdr>
    </w:div>
    <w:div w:id="1658723704">
      <w:bodyDiv w:val="1"/>
      <w:marLeft w:val="0"/>
      <w:marRight w:val="0"/>
      <w:marTop w:val="0"/>
      <w:marBottom w:val="0"/>
      <w:divBdr>
        <w:top w:val="none" w:sz="0" w:space="0" w:color="auto"/>
        <w:left w:val="none" w:sz="0" w:space="0" w:color="auto"/>
        <w:bottom w:val="none" w:sz="0" w:space="0" w:color="auto"/>
        <w:right w:val="none" w:sz="0" w:space="0" w:color="auto"/>
      </w:divBdr>
    </w:div>
    <w:div w:id="1702046331">
      <w:bodyDiv w:val="1"/>
      <w:marLeft w:val="0"/>
      <w:marRight w:val="0"/>
      <w:marTop w:val="0"/>
      <w:marBottom w:val="0"/>
      <w:divBdr>
        <w:top w:val="none" w:sz="0" w:space="0" w:color="auto"/>
        <w:left w:val="none" w:sz="0" w:space="0" w:color="auto"/>
        <w:bottom w:val="none" w:sz="0" w:space="0" w:color="auto"/>
        <w:right w:val="none" w:sz="0" w:space="0" w:color="auto"/>
      </w:divBdr>
    </w:div>
    <w:div w:id="1706757868">
      <w:bodyDiv w:val="1"/>
      <w:marLeft w:val="0"/>
      <w:marRight w:val="0"/>
      <w:marTop w:val="0"/>
      <w:marBottom w:val="0"/>
      <w:divBdr>
        <w:top w:val="none" w:sz="0" w:space="0" w:color="auto"/>
        <w:left w:val="none" w:sz="0" w:space="0" w:color="auto"/>
        <w:bottom w:val="none" w:sz="0" w:space="0" w:color="auto"/>
        <w:right w:val="none" w:sz="0" w:space="0" w:color="auto"/>
      </w:divBdr>
    </w:div>
    <w:div w:id="1734351588">
      <w:bodyDiv w:val="1"/>
      <w:marLeft w:val="0"/>
      <w:marRight w:val="0"/>
      <w:marTop w:val="0"/>
      <w:marBottom w:val="0"/>
      <w:divBdr>
        <w:top w:val="none" w:sz="0" w:space="0" w:color="auto"/>
        <w:left w:val="none" w:sz="0" w:space="0" w:color="auto"/>
        <w:bottom w:val="none" w:sz="0" w:space="0" w:color="auto"/>
        <w:right w:val="none" w:sz="0" w:space="0" w:color="auto"/>
      </w:divBdr>
    </w:div>
    <w:div w:id="1734422457">
      <w:bodyDiv w:val="1"/>
      <w:marLeft w:val="0"/>
      <w:marRight w:val="0"/>
      <w:marTop w:val="0"/>
      <w:marBottom w:val="0"/>
      <w:divBdr>
        <w:top w:val="none" w:sz="0" w:space="0" w:color="auto"/>
        <w:left w:val="none" w:sz="0" w:space="0" w:color="auto"/>
        <w:bottom w:val="none" w:sz="0" w:space="0" w:color="auto"/>
        <w:right w:val="none" w:sz="0" w:space="0" w:color="auto"/>
      </w:divBdr>
    </w:div>
    <w:div w:id="1738436887">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890918426">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19437859">
      <w:bodyDiv w:val="1"/>
      <w:marLeft w:val="0"/>
      <w:marRight w:val="0"/>
      <w:marTop w:val="0"/>
      <w:marBottom w:val="0"/>
      <w:divBdr>
        <w:top w:val="none" w:sz="0" w:space="0" w:color="auto"/>
        <w:left w:val="none" w:sz="0" w:space="0" w:color="auto"/>
        <w:bottom w:val="none" w:sz="0" w:space="0" w:color="auto"/>
        <w:right w:val="none" w:sz="0" w:space="0" w:color="auto"/>
      </w:divBdr>
    </w:div>
    <w:div w:id="1919748875">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38443954">
      <w:bodyDiv w:val="1"/>
      <w:marLeft w:val="0"/>
      <w:marRight w:val="0"/>
      <w:marTop w:val="0"/>
      <w:marBottom w:val="0"/>
      <w:divBdr>
        <w:top w:val="none" w:sz="0" w:space="0" w:color="auto"/>
        <w:left w:val="none" w:sz="0" w:space="0" w:color="auto"/>
        <w:bottom w:val="none" w:sz="0" w:space="0" w:color="auto"/>
        <w:right w:val="none" w:sz="0" w:space="0" w:color="auto"/>
      </w:divBdr>
    </w:div>
    <w:div w:id="1976596693">
      <w:bodyDiv w:val="1"/>
      <w:marLeft w:val="0"/>
      <w:marRight w:val="0"/>
      <w:marTop w:val="0"/>
      <w:marBottom w:val="0"/>
      <w:divBdr>
        <w:top w:val="none" w:sz="0" w:space="0" w:color="auto"/>
        <w:left w:val="none" w:sz="0" w:space="0" w:color="auto"/>
        <w:bottom w:val="none" w:sz="0" w:space="0" w:color="auto"/>
        <w:right w:val="none" w:sz="0" w:space="0" w:color="auto"/>
      </w:divBdr>
    </w:div>
    <w:div w:id="1977640929">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79473381">
      <w:bodyDiv w:val="1"/>
      <w:marLeft w:val="0"/>
      <w:marRight w:val="0"/>
      <w:marTop w:val="0"/>
      <w:marBottom w:val="0"/>
      <w:divBdr>
        <w:top w:val="none" w:sz="0" w:space="0" w:color="auto"/>
        <w:left w:val="none" w:sz="0" w:space="0" w:color="auto"/>
        <w:bottom w:val="none" w:sz="0" w:space="0" w:color="auto"/>
        <w:right w:val="none" w:sz="0" w:space="0" w:color="auto"/>
      </w:divBdr>
    </w:div>
    <w:div w:id="2089888544">
      <w:bodyDiv w:val="1"/>
      <w:marLeft w:val="0"/>
      <w:marRight w:val="0"/>
      <w:marTop w:val="0"/>
      <w:marBottom w:val="0"/>
      <w:divBdr>
        <w:top w:val="none" w:sz="0" w:space="0" w:color="auto"/>
        <w:left w:val="none" w:sz="0" w:space="0" w:color="auto"/>
        <w:bottom w:val="none" w:sz="0" w:space="0" w:color="auto"/>
        <w:right w:val="none" w:sz="0" w:space="0" w:color="auto"/>
      </w:divBdr>
    </w:div>
    <w:div w:id="2111389363">
      <w:bodyDiv w:val="1"/>
      <w:marLeft w:val="0"/>
      <w:marRight w:val="0"/>
      <w:marTop w:val="0"/>
      <w:marBottom w:val="0"/>
      <w:divBdr>
        <w:top w:val="none" w:sz="0" w:space="0" w:color="auto"/>
        <w:left w:val="none" w:sz="0" w:space="0" w:color="auto"/>
        <w:bottom w:val="none" w:sz="0" w:space="0" w:color="auto"/>
        <w:right w:val="none" w:sz="0" w:space="0" w:color="auto"/>
      </w:divBdr>
    </w:div>
    <w:div w:id="2112429440">
      <w:bodyDiv w:val="1"/>
      <w:marLeft w:val="0"/>
      <w:marRight w:val="0"/>
      <w:marTop w:val="0"/>
      <w:marBottom w:val="0"/>
      <w:divBdr>
        <w:top w:val="none" w:sz="0" w:space="0" w:color="auto"/>
        <w:left w:val="none" w:sz="0" w:space="0" w:color="auto"/>
        <w:bottom w:val="none" w:sz="0" w:space="0" w:color="auto"/>
        <w:right w:val="none" w:sz="0" w:space="0" w:color="auto"/>
      </w:divBdr>
    </w:div>
    <w:div w:id="211559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wab.be/Guide-d-aide-a-la-conception-d-un-batiment-accessibl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bilite-mobiliteit.brussels/sites/default/files/vm4-accessibilite-pietonne-fr-web.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03CC-3ADA-4DEC-8C8A-0C5D2CB1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4076</Words>
  <Characters>22421</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4</cp:revision>
  <cp:lastPrinted>2022-05-23T09:54:00Z</cp:lastPrinted>
  <dcterms:created xsi:type="dcterms:W3CDTF">2022-06-26T15:26:00Z</dcterms:created>
  <dcterms:modified xsi:type="dcterms:W3CDTF">2022-07-08T06:59:00Z</dcterms:modified>
</cp:coreProperties>
</file>